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2168" w14:textId="48CF6087" w:rsidR="004C59C8" w:rsidRPr="004C59C8" w:rsidRDefault="004C59C8" w:rsidP="004C59C8">
      <w:pPr>
        <w:spacing w:after="120"/>
        <w:ind w:left="1985" w:hanging="1985"/>
        <w:rPr>
          <w:rFonts w:ascii="Arial" w:eastAsiaTheme="minorEastAsia" w:hAnsi="Arial" w:cs="Arial"/>
          <w:b/>
          <w:sz w:val="24"/>
          <w:szCs w:val="24"/>
          <w:lang w:val="sv-SE" w:eastAsia="zh-CN"/>
        </w:rPr>
      </w:pPr>
      <w:bookmarkStart w:id="0" w:name="Title"/>
      <w:bookmarkStart w:id="1" w:name="_Hlk143685447"/>
      <w:bookmarkEnd w:id="0"/>
      <w:r w:rsidRPr="004C59C8">
        <w:rPr>
          <w:rFonts w:ascii="Arial" w:eastAsiaTheme="minorEastAsia" w:hAnsi="Arial" w:cs="Arial"/>
          <w:b/>
          <w:sz w:val="24"/>
          <w:szCs w:val="24"/>
          <w:lang w:val="en-US" w:eastAsia="zh-CN"/>
        </w:rPr>
        <w:t xml:space="preserve">3GPP TSG-RAN WG4 Meeting #110bis </w:t>
      </w:r>
      <w:r w:rsidRPr="004C59C8">
        <w:rPr>
          <w:rFonts w:ascii="Arial" w:eastAsiaTheme="minorEastAsia" w:hAnsi="Arial" w:cs="Arial"/>
          <w:b/>
          <w:sz w:val="24"/>
          <w:szCs w:val="24"/>
          <w:lang w:val="en-US" w:eastAsia="zh-CN"/>
        </w:rPr>
        <w:tab/>
      </w:r>
      <w:r w:rsidRPr="004C59C8">
        <w:rPr>
          <w:rFonts w:ascii="Arial" w:eastAsiaTheme="minorEastAsia" w:hAnsi="Arial" w:cs="Arial"/>
          <w:b/>
          <w:sz w:val="24"/>
          <w:szCs w:val="24"/>
          <w:lang w:val="en-US" w:eastAsia="zh-CN"/>
        </w:rPr>
        <w:tab/>
      </w:r>
      <w:r w:rsidRPr="004C59C8">
        <w:rPr>
          <w:rFonts w:ascii="Arial" w:eastAsiaTheme="minorEastAsia" w:hAnsi="Arial" w:cs="Arial"/>
          <w:b/>
          <w:sz w:val="24"/>
          <w:szCs w:val="24"/>
          <w:lang w:val="en-US" w:eastAsia="zh-CN"/>
        </w:rPr>
        <w:tab/>
      </w:r>
      <w:r w:rsidRPr="004C59C8">
        <w:rPr>
          <w:rFonts w:ascii="Arial" w:eastAsiaTheme="minorEastAsia" w:hAnsi="Arial" w:cs="Arial"/>
          <w:b/>
          <w:sz w:val="24"/>
          <w:szCs w:val="24"/>
          <w:lang w:val="en-US" w:eastAsia="zh-CN"/>
        </w:rPr>
        <w:tab/>
      </w:r>
      <w:r w:rsidRPr="004C59C8">
        <w:rPr>
          <w:rFonts w:ascii="Arial" w:eastAsiaTheme="minorEastAsia" w:hAnsi="Arial" w:cs="Arial"/>
          <w:b/>
          <w:sz w:val="24"/>
          <w:szCs w:val="24"/>
          <w:lang w:val="en-US" w:eastAsia="zh-CN"/>
        </w:rPr>
        <w:tab/>
        <w:t xml:space="preserve">                                       </w:t>
      </w:r>
      <w:r w:rsidR="0053582A" w:rsidRPr="0053582A">
        <w:rPr>
          <w:rFonts w:ascii="Arial" w:eastAsiaTheme="minorEastAsia" w:hAnsi="Arial" w:cs="Arial"/>
          <w:b/>
          <w:sz w:val="24"/>
          <w:szCs w:val="24"/>
          <w:lang w:eastAsia="zh-CN"/>
        </w:rPr>
        <w:t>R4-</w:t>
      </w:r>
      <w:r w:rsidR="0053582A" w:rsidRPr="0053582A">
        <w:rPr>
          <w:rFonts w:ascii="Arial" w:eastAsiaTheme="minorEastAsia" w:hAnsi="Arial" w:cs="Arial"/>
          <w:b/>
          <w:sz w:val="24"/>
          <w:szCs w:val="24"/>
          <w:lang w:eastAsia="zh-CN"/>
        </w:rPr>
        <w:t>2</w:t>
      </w:r>
      <w:r w:rsidR="0053582A" w:rsidRPr="0053582A">
        <w:rPr>
          <w:rFonts w:ascii="Arial" w:eastAsiaTheme="minorEastAsia" w:hAnsi="Arial" w:cs="Arial"/>
          <w:b/>
          <w:sz w:val="24"/>
          <w:szCs w:val="24"/>
          <w:lang w:eastAsia="zh-CN"/>
        </w:rPr>
        <w:t>406346</w:t>
      </w:r>
    </w:p>
    <w:p w14:paraId="1FAA6654" w14:textId="77777777" w:rsidR="004C59C8" w:rsidRPr="004C59C8" w:rsidRDefault="004C59C8" w:rsidP="004C59C8">
      <w:pPr>
        <w:spacing w:after="120"/>
        <w:ind w:left="1985" w:hanging="1985"/>
        <w:rPr>
          <w:rFonts w:ascii="Arial" w:eastAsiaTheme="minorEastAsia" w:hAnsi="Arial" w:cs="Arial"/>
          <w:b/>
          <w:sz w:val="24"/>
          <w:szCs w:val="24"/>
          <w:lang w:val="en-US" w:eastAsia="zh-CN"/>
        </w:rPr>
      </w:pPr>
      <w:r w:rsidRPr="004C59C8">
        <w:rPr>
          <w:rFonts w:ascii="Arial" w:eastAsiaTheme="minorEastAsia" w:hAnsi="Arial" w:cs="Arial"/>
          <w:b/>
          <w:sz w:val="24"/>
          <w:szCs w:val="24"/>
          <w:lang w:val="en-US" w:eastAsia="zh-CN"/>
        </w:rPr>
        <w:t>Changsha, China, April 15 – 19, 2024</w:t>
      </w:r>
    </w:p>
    <w:bookmarkEnd w:id="1"/>
    <w:p w14:paraId="297C8A2C" w14:textId="77777777" w:rsidR="003673C7" w:rsidRDefault="003673C7">
      <w:pPr>
        <w:spacing w:after="120"/>
        <w:ind w:left="1985" w:hanging="1985"/>
        <w:rPr>
          <w:rFonts w:ascii="Arial" w:eastAsia="MS Mincho" w:hAnsi="Arial" w:cs="Arial"/>
          <w:b/>
          <w:sz w:val="22"/>
          <w:lang w:val="en-US"/>
        </w:rPr>
      </w:pPr>
    </w:p>
    <w:p w14:paraId="29CD87E9" w14:textId="03D4B386" w:rsidR="003673C7"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DA79EC">
        <w:rPr>
          <w:rFonts w:ascii="Arial" w:eastAsiaTheme="minorEastAsia" w:hAnsi="Arial" w:cs="Arial"/>
          <w:color w:val="000000"/>
          <w:sz w:val="22"/>
          <w:lang w:val="en-US" w:eastAsia="zh-CN"/>
        </w:rPr>
        <w:t>6.14</w:t>
      </w:r>
      <w:r>
        <w:rPr>
          <w:rFonts w:ascii="Arial" w:eastAsiaTheme="minorEastAsia" w:hAnsi="Arial" w:cs="Arial"/>
          <w:color w:val="000000"/>
          <w:sz w:val="22"/>
          <w:lang w:val="en-US" w:eastAsia="zh-CN"/>
        </w:rPr>
        <w:t>.3</w:t>
      </w:r>
    </w:p>
    <w:p w14:paraId="4CE3CBE3" w14:textId="77777777" w:rsidR="003673C7" w:rsidRDefault="0000000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Apple</w:t>
      </w:r>
    </w:p>
    <w:p w14:paraId="5A119FED" w14:textId="77777777" w:rsidR="003673C7"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MS Mincho" w:hAnsi="Arial" w:cs="Arial"/>
          <w:color w:val="000000"/>
          <w:sz w:val="22"/>
          <w:lang w:val="en-US"/>
        </w:rPr>
        <w:t>WF on R18 Further NR mobility enhancement – part 2</w:t>
      </w:r>
    </w:p>
    <w:p w14:paraId="7131267B" w14:textId="77777777" w:rsidR="003673C7" w:rsidRDefault="0000000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059E1F4B" w14:textId="77777777" w:rsidR="003673C7" w:rsidRDefault="003673C7">
      <w:pPr>
        <w:rPr>
          <w:lang w:val="en-US" w:eastAsia="zh-CN"/>
        </w:rPr>
      </w:pPr>
    </w:p>
    <w:p w14:paraId="1E233539" w14:textId="4E4ED12C" w:rsidR="003673C7" w:rsidRDefault="00000000">
      <w:pPr>
        <w:pStyle w:val="Heading1"/>
        <w:rPr>
          <w:lang w:val="en-US" w:eastAsia="ja-JP"/>
        </w:rPr>
      </w:pPr>
      <w:r>
        <w:rPr>
          <w:lang w:val="en-US" w:eastAsia="ja-JP"/>
        </w:rPr>
        <w:t>Core</w:t>
      </w:r>
      <w:r w:rsidR="00A948D9" w:rsidRPr="00A948D9">
        <w:rPr>
          <w:rFonts w:ascii="Times New Roman" w:eastAsia="Times New Roman" w:hAnsi="Times New Roman"/>
          <w:sz w:val="24"/>
          <w:szCs w:val="24"/>
          <w:lang w:val="en-CN" w:eastAsia="zh-CN"/>
        </w:rPr>
        <w:t xml:space="preserve"> </w:t>
      </w:r>
      <w:r w:rsidR="00A948D9" w:rsidRPr="00A948D9">
        <w:rPr>
          <w:lang w:val="en-CN" w:eastAsia="ja-JP"/>
        </w:rPr>
        <w:t>part maintenance</w:t>
      </w:r>
    </w:p>
    <w:p w14:paraId="4C0E58D4" w14:textId="77777777" w:rsidR="006D2B52" w:rsidRPr="006D2B52" w:rsidRDefault="006D2B52" w:rsidP="006D2B52">
      <w:pPr>
        <w:spacing w:after="120"/>
        <w:rPr>
          <w:b/>
          <w:bCs/>
          <w:color w:val="000000" w:themeColor="text1"/>
          <w:u w:val="single"/>
          <w:lang w:val="en-US"/>
        </w:rPr>
      </w:pPr>
      <w:r w:rsidRPr="006D2B52">
        <w:rPr>
          <w:b/>
          <w:bCs/>
          <w:color w:val="000000" w:themeColor="text1"/>
          <w:u w:val="single"/>
          <w:lang w:val="en-US"/>
        </w:rPr>
        <w:t>Issue 1-1: supported frequency range of solution based on existing measurement for validity check</w:t>
      </w:r>
    </w:p>
    <w:p w14:paraId="707F1536" w14:textId="77777777" w:rsidR="006D2B52" w:rsidRPr="006D2B52" w:rsidRDefault="006D2B52" w:rsidP="006D2B52">
      <w:pPr>
        <w:numPr>
          <w:ilvl w:val="0"/>
          <w:numId w:val="13"/>
        </w:numPr>
        <w:spacing w:after="120"/>
        <w:rPr>
          <w:bCs/>
          <w:color w:val="000000" w:themeColor="text1"/>
          <w:u w:val="single"/>
          <w:lang w:val="en-US"/>
        </w:rPr>
      </w:pPr>
      <w:r w:rsidRPr="006D2B52">
        <w:rPr>
          <w:bCs/>
          <w:color w:val="000000" w:themeColor="text1"/>
          <w:u w:val="single"/>
          <w:lang w:val="en-US"/>
        </w:rPr>
        <w:t xml:space="preserve">Agreement: </w:t>
      </w:r>
    </w:p>
    <w:p w14:paraId="565DB0E0" w14:textId="77777777" w:rsidR="006D2B52" w:rsidRPr="006D2B52" w:rsidRDefault="006D2B52" w:rsidP="006D2B52">
      <w:pPr>
        <w:numPr>
          <w:ilvl w:val="1"/>
          <w:numId w:val="13"/>
        </w:numPr>
        <w:spacing w:after="120"/>
        <w:rPr>
          <w:bCs/>
          <w:color w:val="000000" w:themeColor="text1"/>
          <w:lang w:val="en-US"/>
        </w:rPr>
      </w:pPr>
      <w:r w:rsidRPr="006D2B52">
        <w:rPr>
          <w:bCs/>
          <w:color w:val="000000" w:themeColor="text1"/>
          <w:lang w:val="en-US"/>
        </w:rPr>
        <w:t>FG 39-x1 and 39-x2 apply for both FR1 and FR2.</w:t>
      </w:r>
    </w:p>
    <w:p w14:paraId="26C0C7BC" w14:textId="77777777" w:rsidR="003673C7" w:rsidRDefault="003673C7">
      <w:pPr>
        <w:spacing w:after="120"/>
        <w:rPr>
          <w:bCs/>
          <w:color w:val="000000" w:themeColor="text1"/>
          <w:lang w:val="en-US"/>
        </w:rPr>
      </w:pPr>
    </w:p>
    <w:p w14:paraId="2642915D" w14:textId="77777777" w:rsidR="006D2B52" w:rsidRPr="006D2B52" w:rsidRDefault="006D2B52" w:rsidP="006D2B52">
      <w:pPr>
        <w:spacing w:after="120"/>
        <w:rPr>
          <w:b/>
          <w:bCs/>
          <w:color w:val="000000" w:themeColor="text1"/>
          <w:u w:val="single"/>
          <w:lang w:val="en-US"/>
        </w:rPr>
      </w:pPr>
      <w:r w:rsidRPr="006D2B52">
        <w:rPr>
          <w:b/>
          <w:bCs/>
          <w:color w:val="000000" w:themeColor="text1"/>
          <w:u w:val="single"/>
          <w:lang w:val="en-US"/>
        </w:rPr>
        <w:t xml:space="preserve">Issue 1-2: whether to allow </w:t>
      </w:r>
      <w:r w:rsidRPr="006D2B52">
        <w:rPr>
          <w:b/>
          <w:bCs/>
          <w:color w:val="000000" w:themeColor="text1"/>
          <w:u w:val="single"/>
        </w:rPr>
        <w:t>differentiation between FR1 and FR2 for the new UE capabilities 39-x1 and 39-x2.</w:t>
      </w:r>
    </w:p>
    <w:p w14:paraId="6F1C72DA" w14:textId="77777777" w:rsidR="006D2B52" w:rsidRPr="006D2B52" w:rsidRDefault="006D2B52" w:rsidP="006D2B52">
      <w:pPr>
        <w:numPr>
          <w:ilvl w:val="0"/>
          <w:numId w:val="14"/>
        </w:numPr>
        <w:spacing w:after="120"/>
        <w:rPr>
          <w:bCs/>
          <w:color w:val="000000" w:themeColor="text1"/>
          <w:u w:val="single"/>
          <w:lang w:val="en-US"/>
        </w:rPr>
      </w:pPr>
      <w:r w:rsidRPr="006D2B52">
        <w:rPr>
          <w:bCs/>
          <w:color w:val="000000" w:themeColor="text1"/>
          <w:u w:val="single"/>
          <w:lang w:val="en-US"/>
        </w:rPr>
        <w:t xml:space="preserve">Agreement: </w:t>
      </w:r>
    </w:p>
    <w:p w14:paraId="316F0178" w14:textId="4A361B05" w:rsidR="006D2B52" w:rsidRPr="006D2B52" w:rsidRDefault="006D2B52" w:rsidP="006D2B52">
      <w:pPr>
        <w:numPr>
          <w:ilvl w:val="1"/>
          <w:numId w:val="14"/>
        </w:numPr>
        <w:spacing w:after="120"/>
        <w:rPr>
          <w:bCs/>
          <w:color w:val="000000" w:themeColor="text1"/>
          <w:lang w:val="en-US"/>
        </w:rPr>
      </w:pPr>
      <w:r>
        <w:rPr>
          <w:bCs/>
          <w:color w:val="000000" w:themeColor="text1"/>
          <w:lang w:val="en-US"/>
        </w:rPr>
        <w:t>A</w:t>
      </w:r>
      <w:r w:rsidRPr="006D2B52">
        <w:rPr>
          <w:bCs/>
          <w:color w:val="000000" w:themeColor="text1"/>
          <w:lang w:val="en-US"/>
        </w:rPr>
        <w:t xml:space="preserve">llow </w:t>
      </w:r>
      <w:r w:rsidRPr="006D2B52">
        <w:rPr>
          <w:bCs/>
          <w:color w:val="000000" w:themeColor="text1"/>
        </w:rPr>
        <w:t>differentiation between FR1 and FR2 for FG 39-x1 and 39-x2</w:t>
      </w:r>
      <w:r w:rsidRPr="006D2B52">
        <w:rPr>
          <w:bCs/>
          <w:color w:val="000000" w:themeColor="text1"/>
          <w:lang w:val="en-US"/>
        </w:rPr>
        <w:t>.</w:t>
      </w:r>
    </w:p>
    <w:p w14:paraId="45F9E1DB" w14:textId="77777777" w:rsidR="006D2B52" w:rsidRDefault="006D2B52">
      <w:pPr>
        <w:spacing w:after="120"/>
        <w:rPr>
          <w:bCs/>
          <w:color w:val="000000" w:themeColor="text1"/>
          <w:lang w:val="en-US"/>
        </w:rPr>
      </w:pPr>
    </w:p>
    <w:p w14:paraId="6192F88D" w14:textId="280094A8" w:rsidR="009F16BC" w:rsidRDefault="009F16BC">
      <w:pPr>
        <w:spacing w:after="120"/>
        <w:rPr>
          <w:b/>
          <w:bCs/>
          <w:color w:val="000000" w:themeColor="text1"/>
          <w:u w:val="single"/>
          <w:lang w:val="en-US"/>
        </w:rPr>
      </w:pPr>
      <w:r w:rsidRPr="009F16BC">
        <w:rPr>
          <w:b/>
          <w:bCs/>
          <w:color w:val="000000" w:themeColor="text1"/>
          <w:u w:val="single"/>
          <w:lang w:val="en-US"/>
        </w:rPr>
        <w:t>Issue 1-3: whether to remove inter-RAT measurement (</w:t>
      </w:r>
      <w:r w:rsidRPr="009F16BC">
        <w:rPr>
          <w:b/>
          <w:bCs/>
          <w:color w:val="000000" w:themeColor="text1"/>
          <w:u w:val="single"/>
        </w:rPr>
        <w:t>idleInactiveEUTRA-MeasReport-r16) in solution based on existing measurement</w:t>
      </w:r>
      <w:r>
        <w:rPr>
          <w:b/>
          <w:bCs/>
          <w:color w:val="000000" w:themeColor="text1"/>
          <w:u w:val="single"/>
          <w:lang w:val="en-US"/>
        </w:rPr>
        <w:t>.</w:t>
      </w:r>
    </w:p>
    <w:p w14:paraId="4F79852C" w14:textId="4514ADDD" w:rsidR="009F16BC" w:rsidRPr="006D2B52" w:rsidRDefault="009F16BC" w:rsidP="009F16BC">
      <w:pPr>
        <w:numPr>
          <w:ilvl w:val="0"/>
          <w:numId w:val="14"/>
        </w:numPr>
        <w:spacing w:after="120"/>
        <w:rPr>
          <w:bCs/>
          <w:color w:val="000000" w:themeColor="text1"/>
          <w:u w:val="single"/>
          <w:lang w:val="en-US"/>
        </w:rPr>
      </w:pPr>
      <w:r w:rsidRPr="006D2B52">
        <w:rPr>
          <w:bCs/>
          <w:color w:val="000000" w:themeColor="text1"/>
          <w:u w:val="single"/>
          <w:lang w:val="en-US"/>
        </w:rPr>
        <w:t xml:space="preserve">Agreement: </w:t>
      </w:r>
    </w:p>
    <w:p w14:paraId="7A2495E1" w14:textId="77777777" w:rsidR="009F16BC" w:rsidRDefault="00EE014E" w:rsidP="00EE014E">
      <w:pPr>
        <w:numPr>
          <w:ilvl w:val="1"/>
          <w:numId w:val="14"/>
        </w:numPr>
        <w:spacing w:after="120"/>
        <w:rPr>
          <w:bCs/>
          <w:color w:val="000000" w:themeColor="text1"/>
          <w:lang w:val="en-US"/>
        </w:rPr>
      </w:pPr>
      <w:r>
        <w:rPr>
          <w:bCs/>
          <w:color w:val="000000" w:themeColor="text1"/>
          <w:lang w:val="en-US"/>
        </w:rPr>
        <w:t>No. I</w:t>
      </w:r>
      <w:r w:rsidRPr="009F16BC">
        <w:rPr>
          <w:bCs/>
          <w:color w:val="000000" w:themeColor="text1"/>
          <w:lang w:val="en-US"/>
        </w:rPr>
        <w:t>nter-RAT</w:t>
      </w:r>
      <w:r>
        <w:rPr>
          <w:bCs/>
          <w:color w:val="000000" w:themeColor="text1"/>
          <w:lang w:val="en-US"/>
        </w:rPr>
        <w:t xml:space="preserve"> E-UTRAN</w:t>
      </w:r>
      <w:r w:rsidRPr="009F16BC">
        <w:rPr>
          <w:bCs/>
          <w:color w:val="000000" w:themeColor="text1"/>
          <w:lang w:val="en-US"/>
        </w:rPr>
        <w:t xml:space="preserve"> measurement</w:t>
      </w:r>
      <w:r>
        <w:rPr>
          <w:bCs/>
          <w:color w:val="000000" w:themeColor="text1"/>
          <w:lang w:val="en-US"/>
        </w:rPr>
        <w:t xml:space="preserve"> is supported in solution based on existing measurement for validity check.</w:t>
      </w:r>
    </w:p>
    <w:p w14:paraId="119777EA" w14:textId="77777777" w:rsidR="0097684F" w:rsidRDefault="0097684F" w:rsidP="0097684F">
      <w:pPr>
        <w:spacing w:after="120"/>
        <w:rPr>
          <w:bCs/>
          <w:color w:val="000000" w:themeColor="text1"/>
          <w:lang w:val="en-US"/>
        </w:rPr>
      </w:pPr>
    </w:p>
    <w:p w14:paraId="7AE00F24" w14:textId="77777777" w:rsidR="0097684F" w:rsidRPr="0097684F" w:rsidRDefault="0097684F" w:rsidP="0097684F">
      <w:pPr>
        <w:spacing w:after="120"/>
        <w:rPr>
          <w:b/>
          <w:bCs/>
          <w:color w:val="000000" w:themeColor="text1"/>
          <w:u w:val="single"/>
          <w:lang w:val="en-US"/>
        </w:rPr>
      </w:pPr>
      <w:r w:rsidRPr="0097684F">
        <w:rPr>
          <w:b/>
          <w:bCs/>
          <w:color w:val="000000" w:themeColor="text1"/>
          <w:u w:val="single"/>
          <w:lang w:val="en-US"/>
        </w:rPr>
        <w:t>Issue 1-4: applicability of validity check</w:t>
      </w:r>
    </w:p>
    <w:p w14:paraId="65706EE7" w14:textId="77777777" w:rsidR="006A79CE" w:rsidRPr="006A79CE" w:rsidRDefault="006A79CE" w:rsidP="006A79CE">
      <w:pPr>
        <w:numPr>
          <w:ilvl w:val="0"/>
          <w:numId w:val="14"/>
        </w:numPr>
        <w:spacing w:after="120"/>
        <w:rPr>
          <w:bCs/>
          <w:color w:val="000000" w:themeColor="text1"/>
          <w:u w:val="single"/>
          <w:lang w:val="en-US"/>
        </w:rPr>
      </w:pPr>
      <w:r w:rsidRPr="006A79CE">
        <w:rPr>
          <w:bCs/>
          <w:color w:val="000000" w:themeColor="text1"/>
          <w:u w:val="single"/>
          <w:lang w:val="en-US"/>
        </w:rPr>
        <w:t xml:space="preserve">Agreement: </w:t>
      </w:r>
    </w:p>
    <w:p w14:paraId="255B7E2B" w14:textId="77777777" w:rsidR="006A79CE" w:rsidRPr="006A79CE" w:rsidRDefault="006A79CE" w:rsidP="006A79CE">
      <w:pPr>
        <w:numPr>
          <w:ilvl w:val="1"/>
          <w:numId w:val="14"/>
        </w:numPr>
        <w:spacing w:after="120"/>
        <w:rPr>
          <w:bCs/>
          <w:color w:val="000000" w:themeColor="text1"/>
          <w:lang w:val="en-US"/>
        </w:rPr>
      </w:pPr>
      <w:r w:rsidRPr="006A79CE">
        <w:rPr>
          <w:bCs/>
          <w:color w:val="000000" w:themeColor="text1"/>
          <w:lang w:val="en-US"/>
        </w:rPr>
        <w:t>FFS:</w:t>
      </w:r>
    </w:p>
    <w:p w14:paraId="420400D4" w14:textId="77777777" w:rsidR="006A79CE" w:rsidRPr="006A79CE" w:rsidRDefault="006A79CE" w:rsidP="006A79CE">
      <w:pPr>
        <w:numPr>
          <w:ilvl w:val="2"/>
          <w:numId w:val="14"/>
        </w:numPr>
        <w:spacing w:after="120"/>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2EA08A40" w14:textId="77777777" w:rsidR="006A79CE" w:rsidRPr="006A79CE" w:rsidRDefault="006A79CE" w:rsidP="006A79CE">
      <w:pPr>
        <w:numPr>
          <w:ilvl w:val="2"/>
          <w:numId w:val="14"/>
        </w:numPr>
        <w:spacing w:after="120"/>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5FE48CCB" w14:textId="77777777" w:rsidR="006A79CE" w:rsidRPr="006A79CE" w:rsidRDefault="006A79CE" w:rsidP="006A79CE">
      <w:pPr>
        <w:numPr>
          <w:ilvl w:val="1"/>
          <w:numId w:val="14"/>
        </w:numPr>
        <w:spacing w:after="120"/>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5DFA35E4" w14:textId="77777777" w:rsidR="006A79CE" w:rsidRPr="006A79CE" w:rsidRDefault="006A79CE" w:rsidP="006A79CE">
      <w:pPr>
        <w:numPr>
          <w:ilvl w:val="2"/>
          <w:numId w:val="14"/>
        </w:numPr>
        <w:spacing w:after="120"/>
        <w:rPr>
          <w:bCs/>
          <w:color w:val="000000" w:themeColor="text1"/>
          <w:lang w:val="en-US"/>
        </w:rPr>
      </w:pPr>
      <w:r w:rsidRPr="006A79CE">
        <w:rPr>
          <w:bCs/>
          <w:color w:val="000000" w:themeColor="text1"/>
        </w:rPr>
        <w:t>FG 39-x2 does not apply to a</w:t>
      </w:r>
      <w:r w:rsidRPr="006A79CE">
        <w:rPr>
          <w:bCs/>
          <w:color w:val="000000" w:themeColor="text1"/>
          <w:lang w:val="en-US"/>
        </w:rPr>
        <w:t>ny measurements during IDLE/INACTIVE but no included in configuration of R18 CA/DC setup improvement.</w:t>
      </w:r>
    </w:p>
    <w:p w14:paraId="62F2461D" w14:textId="77777777" w:rsidR="006A79CE" w:rsidRPr="006A79CE" w:rsidRDefault="006A79CE" w:rsidP="006A79CE">
      <w:pPr>
        <w:numPr>
          <w:ilvl w:val="3"/>
          <w:numId w:val="14"/>
        </w:numPr>
        <w:spacing w:after="120"/>
        <w:rPr>
          <w:bCs/>
          <w:color w:val="000000" w:themeColor="text1"/>
          <w:lang w:val="en-US"/>
        </w:rPr>
      </w:pPr>
      <w:r w:rsidRPr="006A79CE">
        <w:rPr>
          <w:bCs/>
          <w:color w:val="000000" w:themeColor="text1"/>
          <w:lang w:val="en-US"/>
        </w:rPr>
        <w:t>UE is not required to report carriers which are not configured by NW.</w:t>
      </w:r>
    </w:p>
    <w:p w14:paraId="53EC0CE2" w14:textId="77777777" w:rsidR="0097684F" w:rsidRDefault="0097684F" w:rsidP="0097684F">
      <w:pPr>
        <w:spacing w:after="120"/>
        <w:rPr>
          <w:bCs/>
          <w:color w:val="000000" w:themeColor="text1"/>
          <w:lang w:val="en-US"/>
        </w:rPr>
      </w:pPr>
    </w:p>
    <w:p w14:paraId="47C5EED5" w14:textId="77777777" w:rsidR="006A79CE" w:rsidRPr="006A79CE" w:rsidRDefault="006A79CE" w:rsidP="006A79CE">
      <w:pPr>
        <w:spacing w:after="120"/>
        <w:rPr>
          <w:b/>
          <w:bCs/>
          <w:color w:val="000000" w:themeColor="text1"/>
          <w:u w:val="single"/>
          <w:lang w:val="en-US"/>
        </w:rPr>
      </w:pPr>
      <w:r w:rsidRPr="006A79CE">
        <w:rPr>
          <w:b/>
          <w:bCs/>
          <w:color w:val="000000" w:themeColor="text1"/>
          <w:u w:val="single"/>
          <w:lang w:val="en-US"/>
        </w:rPr>
        <w:t>Issue 1-5: X value and testing issue and impact to core requirements</w:t>
      </w:r>
    </w:p>
    <w:p w14:paraId="0F683D8B" w14:textId="13D481C4" w:rsidR="006A79CE" w:rsidRPr="006A79CE" w:rsidRDefault="002E70A8" w:rsidP="006A79CE">
      <w:pPr>
        <w:numPr>
          <w:ilvl w:val="0"/>
          <w:numId w:val="13"/>
        </w:numPr>
        <w:spacing w:after="120"/>
        <w:rPr>
          <w:bCs/>
          <w:color w:val="000000" w:themeColor="text1"/>
          <w:u w:val="single"/>
          <w:lang w:val="en-US"/>
        </w:rPr>
      </w:pPr>
      <w:r>
        <w:rPr>
          <w:bCs/>
          <w:color w:val="000000" w:themeColor="text1"/>
          <w:u w:val="single"/>
          <w:lang w:val="en-US"/>
        </w:rPr>
        <w:t>FFS</w:t>
      </w:r>
      <w:r w:rsidR="006A79CE" w:rsidRPr="006A79CE">
        <w:rPr>
          <w:bCs/>
          <w:color w:val="000000" w:themeColor="text1"/>
          <w:u w:val="single"/>
          <w:lang w:val="en-US"/>
        </w:rPr>
        <w:t>:</w:t>
      </w:r>
    </w:p>
    <w:p w14:paraId="2D0DC102" w14:textId="77777777" w:rsidR="006A79CE" w:rsidRPr="006A79CE" w:rsidRDefault="006A79CE" w:rsidP="006A79CE">
      <w:pPr>
        <w:numPr>
          <w:ilvl w:val="1"/>
          <w:numId w:val="13"/>
        </w:numPr>
        <w:spacing w:after="120"/>
        <w:rPr>
          <w:bCs/>
          <w:color w:val="000000" w:themeColor="text1"/>
          <w:lang w:val="en-US"/>
        </w:rPr>
      </w:pPr>
      <w:r w:rsidRPr="006A79CE">
        <w:rPr>
          <w:bCs/>
          <w:color w:val="000000" w:themeColor="text1"/>
          <w:lang w:val="en-US"/>
        </w:rPr>
        <w:t xml:space="preserve">Proposal 1: </w:t>
      </w:r>
      <w:bookmarkStart w:id="2" w:name="_Toc163503548"/>
      <w:r w:rsidRPr="006A79CE">
        <w:rPr>
          <w:bCs/>
          <w:color w:val="000000" w:themeColor="text1"/>
        </w:rPr>
        <w:t>Extend X value with uncertainty in core requirement</w:t>
      </w:r>
      <w:bookmarkEnd w:id="2"/>
      <w:r w:rsidRPr="006A79CE">
        <w:rPr>
          <w:bCs/>
          <w:color w:val="000000" w:themeColor="text1"/>
        </w:rPr>
        <w:t>.</w:t>
      </w:r>
      <w:r w:rsidRPr="006A79CE">
        <w:rPr>
          <w:bCs/>
          <w:color w:val="000000" w:themeColor="text1"/>
          <w:lang w:val="en-US"/>
        </w:rPr>
        <w:t xml:space="preserve"> (Nokia)</w:t>
      </w:r>
    </w:p>
    <w:p w14:paraId="03B23675" w14:textId="77777777" w:rsidR="006A79CE" w:rsidRPr="006A79CE" w:rsidRDefault="006A79CE" w:rsidP="006A79CE">
      <w:pPr>
        <w:numPr>
          <w:ilvl w:val="2"/>
          <w:numId w:val="13"/>
        </w:numPr>
        <w:spacing w:after="120"/>
        <w:rPr>
          <w:bCs/>
          <w:color w:val="000000" w:themeColor="text1"/>
          <w:lang w:val="en-US"/>
        </w:rPr>
      </w:pPr>
      <w:r w:rsidRPr="006A79CE">
        <w:rPr>
          <w:bCs/>
          <w:color w:val="000000" w:themeColor="text1"/>
        </w:rPr>
        <w:lastRenderedPageBreak/>
        <w:t>Msg1 transmission occasion is unknown to TE. RSRP variation from X sec before T1 based test design is not definable</w:t>
      </w:r>
    </w:p>
    <w:p w14:paraId="1C6E1FC8" w14:textId="77777777" w:rsidR="006A79CE" w:rsidRDefault="006A79CE" w:rsidP="0097684F">
      <w:pPr>
        <w:spacing w:after="120"/>
        <w:rPr>
          <w:bCs/>
          <w:color w:val="000000" w:themeColor="text1"/>
          <w:lang w:val="en-US"/>
        </w:rPr>
      </w:pPr>
    </w:p>
    <w:p w14:paraId="7FC91E2A" w14:textId="77777777" w:rsidR="00925FEE" w:rsidRDefault="00925FEE" w:rsidP="0097684F">
      <w:pPr>
        <w:spacing w:after="120"/>
        <w:rPr>
          <w:bCs/>
          <w:color w:val="000000" w:themeColor="text1"/>
          <w:lang w:val="en-US"/>
        </w:rPr>
      </w:pPr>
    </w:p>
    <w:p w14:paraId="0F1AD4C5" w14:textId="77777777" w:rsidR="00925FEE" w:rsidRPr="002779CE" w:rsidRDefault="00925FEE" w:rsidP="00925FEE">
      <w:pPr>
        <w:pStyle w:val="Heading1"/>
        <w:rPr>
          <w:lang w:val="en-US" w:eastAsia="ja-JP"/>
        </w:rPr>
      </w:pPr>
      <w:r w:rsidRPr="00601BAE">
        <w:rPr>
          <w:lang w:val="en-US" w:eastAsia="ja-JP"/>
        </w:rPr>
        <w:t xml:space="preserve">Topic #2: </w:t>
      </w:r>
      <w:r>
        <w:rPr>
          <w:rFonts w:hint="eastAsia"/>
          <w:lang w:val="en-US" w:eastAsia="zh-CN"/>
        </w:rPr>
        <w:t>per</w:t>
      </w:r>
      <w:r>
        <w:rPr>
          <w:lang w:val="en-US" w:eastAsia="zh-CN"/>
        </w:rPr>
        <w:t>formance part</w:t>
      </w:r>
    </w:p>
    <w:p w14:paraId="0E9EA634" w14:textId="77777777" w:rsidR="00F31A4C" w:rsidRPr="00601BAE" w:rsidRDefault="00F31A4C" w:rsidP="00F31A4C">
      <w:pPr>
        <w:rPr>
          <w:b/>
          <w:bCs/>
          <w:color w:val="000000" w:themeColor="text1"/>
          <w:u w:val="single"/>
          <w:lang w:val="en-US" w:eastAsia="ko-KR"/>
        </w:rPr>
      </w:pPr>
      <w:r w:rsidRPr="00601BAE">
        <w:rPr>
          <w:b/>
          <w:color w:val="000000" w:themeColor="text1"/>
          <w:u w:val="single"/>
          <w:lang w:val="en-US" w:eastAsia="ko-KR"/>
        </w:rPr>
        <w:t>Issue 2-</w:t>
      </w:r>
      <w:r>
        <w:rPr>
          <w:b/>
          <w:color w:val="000000" w:themeColor="text1"/>
          <w:u w:val="single"/>
          <w:lang w:val="en-US" w:eastAsia="ko-KR"/>
        </w:rPr>
        <w:t>1</w:t>
      </w:r>
      <w:r w:rsidRPr="00601BAE">
        <w:rPr>
          <w:b/>
          <w:color w:val="000000" w:themeColor="text1"/>
          <w:u w:val="single"/>
          <w:lang w:val="en-US" w:eastAsia="ko-KR"/>
        </w:rPr>
        <w:t xml:space="preserve">: </w:t>
      </w:r>
      <w:r>
        <w:rPr>
          <w:b/>
          <w:color w:val="000000" w:themeColor="text1"/>
          <w:u w:val="single"/>
          <w:lang w:val="en-US"/>
        </w:rPr>
        <w:t>accuracy requirement of solution based on existing measurement for validity check</w:t>
      </w:r>
    </w:p>
    <w:p w14:paraId="57BC543B" w14:textId="77777777" w:rsidR="00F31A4C" w:rsidRPr="00F31A4C" w:rsidRDefault="00F31A4C" w:rsidP="00F31A4C">
      <w:pPr>
        <w:numPr>
          <w:ilvl w:val="0"/>
          <w:numId w:val="14"/>
        </w:numPr>
        <w:spacing w:after="120"/>
        <w:rPr>
          <w:bCs/>
          <w:color w:val="000000" w:themeColor="text1"/>
          <w:u w:val="single"/>
          <w:lang w:val="en-US"/>
        </w:rPr>
      </w:pPr>
      <w:r w:rsidRPr="00F31A4C">
        <w:rPr>
          <w:bCs/>
          <w:color w:val="000000" w:themeColor="text1"/>
          <w:u w:val="single"/>
          <w:lang w:val="en-US"/>
        </w:rPr>
        <w:t xml:space="preserve">Agreement: </w:t>
      </w:r>
    </w:p>
    <w:p w14:paraId="6EF85125" w14:textId="77777777" w:rsidR="00F31A4C" w:rsidRPr="00F31A4C" w:rsidRDefault="00F31A4C" w:rsidP="00F31A4C">
      <w:pPr>
        <w:numPr>
          <w:ilvl w:val="1"/>
          <w:numId w:val="14"/>
        </w:numPr>
        <w:spacing w:after="120"/>
        <w:rPr>
          <w:bCs/>
          <w:color w:val="000000" w:themeColor="text1"/>
          <w:lang w:val="en-US"/>
        </w:rPr>
      </w:pPr>
      <w:r w:rsidRPr="00F31A4C">
        <w:rPr>
          <w:bCs/>
          <w:color w:val="000000" w:themeColor="text1"/>
        </w:rPr>
        <w:t>Reported measurements shall meet the corresponding idle-mode (10.1.xB) accuracy requirements at the measurement instance.</w:t>
      </w:r>
    </w:p>
    <w:p w14:paraId="7FDE52C9" w14:textId="77777777" w:rsidR="00925FEE" w:rsidRDefault="00925FEE" w:rsidP="0097684F">
      <w:pPr>
        <w:spacing w:after="120"/>
        <w:rPr>
          <w:bCs/>
          <w:color w:val="000000" w:themeColor="text1"/>
          <w:lang w:val="en-US"/>
        </w:rPr>
      </w:pPr>
    </w:p>
    <w:p w14:paraId="5914EA71" w14:textId="77777777" w:rsidR="006247C7" w:rsidRPr="0044186D" w:rsidRDefault="006247C7" w:rsidP="006247C7">
      <w:pPr>
        <w:rPr>
          <w:b/>
          <w:color w:val="000000" w:themeColor="text1"/>
          <w:u w:val="single"/>
          <w:lang w:val="en-US"/>
        </w:rPr>
      </w:pPr>
      <w:r w:rsidRPr="00601BAE">
        <w:rPr>
          <w:b/>
          <w:color w:val="000000" w:themeColor="text1"/>
          <w:u w:val="single"/>
          <w:lang w:val="en-US" w:eastAsia="ko-KR"/>
        </w:rPr>
        <w:t>Issue 2-</w:t>
      </w:r>
      <w:r>
        <w:rPr>
          <w:b/>
          <w:color w:val="000000" w:themeColor="text1"/>
          <w:u w:val="single"/>
          <w:lang w:val="en-US" w:eastAsia="ko-KR"/>
        </w:rPr>
        <w:t>2</w:t>
      </w:r>
      <w:r w:rsidRPr="00601BAE">
        <w:rPr>
          <w:b/>
          <w:color w:val="000000" w:themeColor="text1"/>
          <w:u w:val="single"/>
          <w:lang w:val="en-US" w:eastAsia="ko-KR"/>
        </w:rPr>
        <w:t xml:space="preserve">: </w:t>
      </w:r>
      <w:r>
        <w:rPr>
          <w:b/>
          <w:color w:val="000000" w:themeColor="text1"/>
          <w:u w:val="single"/>
          <w:lang w:val="en-US"/>
        </w:rPr>
        <w:t>test configuration/procedure for solution based on existing measurement for validity check</w:t>
      </w:r>
    </w:p>
    <w:p w14:paraId="52CAE8ED" w14:textId="77777777" w:rsidR="006247C7" w:rsidRPr="006247C7" w:rsidRDefault="006247C7" w:rsidP="006247C7">
      <w:pPr>
        <w:numPr>
          <w:ilvl w:val="0"/>
          <w:numId w:val="14"/>
        </w:numPr>
        <w:spacing w:after="120"/>
        <w:rPr>
          <w:bCs/>
          <w:color w:val="000000" w:themeColor="text1"/>
          <w:u w:val="single"/>
          <w:lang w:val="en-US"/>
        </w:rPr>
      </w:pPr>
      <w:r w:rsidRPr="006247C7">
        <w:rPr>
          <w:bCs/>
          <w:color w:val="000000" w:themeColor="text1"/>
          <w:u w:val="single"/>
          <w:lang w:val="en-US"/>
        </w:rPr>
        <w:t xml:space="preserve">Tentative Agreement: </w:t>
      </w:r>
    </w:p>
    <w:p w14:paraId="4D56A9C2" w14:textId="77777777" w:rsidR="006247C7" w:rsidRPr="006247C7" w:rsidRDefault="006247C7" w:rsidP="006247C7">
      <w:pPr>
        <w:numPr>
          <w:ilvl w:val="1"/>
          <w:numId w:val="14"/>
        </w:numPr>
        <w:spacing w:after="120"/>
        <w:rPr>
          <w:bCs/>
          <w:color w:val="000000" w:themeColor="text1"/>
          <w:lang w:val="en-US"/>
        </w:rPr>
      </w:pPr>
      <w:r w:rsidRPr="006247C7">
        <w:rPr>
          <w:bCs/>
          <w:color w:val="000000" w:themeColor="text1"/>
        </w:rPr>
        <w:t>Introduce test case to verify FG 39-x1 and 39-x2.</w:t>
      </w:r>
    </w:p>
    <w:p w14:paraId="10BB5344" w14:textId="77777777" w:rsidR="006247C7" w:rsidRPr="006247C7" w:rsidRDefault="006247C7" w:rsidP="006247C7">
      <w:pPr>
        <w:numPr>
          <w:ilvl w:val="2"/>
          <w:numId w:val="14"/>
        </w:numPr>
        <w:spacing w:after="120"/>
        <w:rPr>
          <w:bCs/>
          <w:color w:val="000000" w:themeColor="text1"/>
          <w:lang w:val="en-US"/>
        </w:rPr>
      </w:pPr>
      <w:r w:rsidRPr="006247C7">
        <w:rPr>
          <w:bCs/>
          <w:color w:val="000000" w:themeColor="text1"/>
        </w:rPr>
        <w:t>Candidate option: use different power levels before X window starts plus some time margin.</w:t>
      </w:r>
    </w:p>
    <w:p w14:paraId="09212F01" w14:textId="77777777" w:rsidR="006247C7" w:rsidRPr="006247C7" w:rsidRDefault="006247C7" w:rsidP="0097684F">
      <w:pPr>
        <w:spacing w:after="120"/>
        <w:rPr>
          <w:bCs/>
          <w:color w:val="000000" w:themeColor="text1"/>
          <w:lang w:val="en-US"/>
        </w:rPr>
      </w:pPr>
    </w:p>
    <w:p w14:paraId="3256175E" w14:textId="77777777" w:rsidR="006247C7" w:rsidRPr="006247C7" w:rsidRDefault="006247C7" w:rsidP="006247C7">
      <w:pPr>
        <w:rPr>
          <w:rFonts w:eastAsiaTheme="minorEastAsia"/>
          <w:iCs/>
          <w:color w:val="000000" w:themeColor="text1"/>
          <w:lang w:val="en-US"/>
        </w:rPr>
      </w:pPr>
    </w:p>
    <w:p w14:paraId="2BCB4D3D" w14:textId="77777777" w:rsidR="006247C7" w:rsidRPr="006247C7" w:rsidRDefault="006247C7" w:rsidP="006247C7">
      <w:pPr>
        <w:rPr>
          <w:b/>
          <w:bCs/>
          <w:color w:val="000000" w:themeColor="text1"/>
          <w:u w:val="single"/>
          <w:lang w:val="en-US" w:eastAsia="ko-KR"/>
        </w:rPr>
      </w:pPr>
      <w:r w:rsidRPr="006247C7">
        <w:rPr>
          <w:b/>
          <w:color w:val="000000" w:themeColor="text1"/>
          <w:u w:val="single"/>
          <w:lang w:val="en-US" w:eastAsia="ko-KR"/>
        </w:rPr>
        <w:t xml:space="preserve">Issue 2-3: </w:t>
      </w:r>
      <w:r w:rsidRPr="006247C7">
        <w:rPr>
          <w:b/>
          <w:color w:val="000000" w:themeColor="text1"/>
          <w:u w:val="single"/>
          <w:lang w:val="en-US"/>
        </w:rPr>
        <w:t>test scope of solution based on existing measurement for validity check</w:t>
      </w:r>
    </w:p>
    <w:p w14:paraId="315ED9B4" w14:textId="6BD30C34" w:rsidR="006247C7" w:rsidRPr="006247C7" w:rsidRDefault="006247C7" w:rsidP="006247C7">
      <w:pPr>
        <w:pStyle w:val="ListParagraph"/>
        <w:numPr>
          <w:ilvl w:val="0"/>
          <w:numId w:val="13"/>
        </w:numPr>
        <w:spacing w:after="120"/>
        <w:ind w:firstLineChars="0"/>
        <w:rPr>
          <w:rFonts w:eastAsia="SimSun"/>
          <w:color w:val="000000" w:themeColor="text1"/>
          <w:u w:val="single"/>
          <w:lang w:val="en-US"/>
        </w:rPr>
      </w:pPr>
      <w:r>
        <w:rPr>
          <w:rFonts w:eastAsia="SimSun"/>
          <w:color w:val="000000" w:themeColor="text1"/>
          <w:u w:val="single"/>
          <w:lang w:val="en-US"/>
        </w:rPr>
        <w:t>FFS</w:t>
      </w:r>
      <w:r w:rsidR="00152FB8">
        <w:rPr>
          <w:rFonts w:eastAsia="SimSun"/>
          <w:color w:val="000000" w:themeColor="text1"/>
          <w:u w:val="single"/>
          <w:lang w:val="en-US"/>
        </w:rPr>
        <w:t>:</w:t>
      </w:r>
    </w:p>
    <w:p w14:paraId="1ED29F3E" w14:textId="77777777" w:rsidR="006247C7" w:rsidRPr="006247C7" w:rsidRDefault="006247C7" w:rsidP="006247C7">
      <w:pPr>
        <w:pStyle w:val="ListParagraph"/>
        <w:numPr>
          <w:ilvl w:val="1"/>
          <w:numId w:val="13"/>
        </w:numPr>
        <w:spacing w:after="120"/>
        <w:ind w:firstLineChars="0"/>
        <w:rPr>
          <w:rFonts w:eastAsia="SimSun"/>
          <w:color w:val="000000" w:themeColor="text1"/>
          <w:lang w:val="en-US"/>
        </w:rPr>
      </w:pPr>
      <w:r w:rsidRPr="006247C7">
        <w:rPr>
          <w:rFonts w:eastAsia="SimSun"/>
          <w:color w:val="000000" w:themeColor="text1"/>
          <w:lang w:val="en-US"/>
        </w:rPr>
        <w:t xml:space="preserve">Proposal 1: </w:t>
      </w:r>
      <w:r w:rsidRPr="006247C7">
        <w:rPr>
          <w:rFonts w:eastAsia="SimSun"/>
          <w:bCs/>
          <w:color w:val="000000" w:themeColor="text1"/>
          <w:lang w:val="en-US"/>
        </w:rPr>
        <w:t>Define test cases to support Rel-18 early measurement reporting of both EMR and cell-reselection measurements. (Nokia)</w:t>
      </w:r>
    </w:p>
    <w:p w14:paraId="1133C0A1" w14:textId="77777777" w:rsidR="006247C7" w:rsidRPr="006247C7" w:rsidRDefault="006247C7" w:rsidP="006247C7">
      <w:pPr>
        <w:pStyle w:val="ListParagraph"/>
        <w:numPr>
          <w:ilvl w:val="1"/>
          <w:numId w:val="13"/>
        </w:numPr>
        <w:spacing w:after="120"/>
        <w:ind w:firstLineChars="0"/>
        <w:rPr>
          <w:rFonts w:eastAsia="SimSun"/>
          <w:color w:val="000000" w:themeColor="text1"/>
          <w:lang w:val="en-US"/>
        </w:rPr>
      </w:pPr>
      <w:r w:rsidRPr="006247C7">
        <w:rPr>
          <w:rFonts w:eastAsia="SimSun"/>
          <w:bCs/>
          <w:color w:val="000000" w:themeColor="text1"/>
          <w:lang w:val="en-US"/>
        </w:rPr>
        <w:t>Proposal 2: Define also a test case where X is not configured to verify the accuracy of the reported measurements. (Nokia)</w:t>
      </w:r>
    </w:p>
    <w:p w14:paraId="789D8410" w14:textId="77777777" w:rsidR="00925FEE" w:rsidRPr="006247C7" w:rsidRDefault="00925FEE" w:rsidP="0097684F">
      <w:pPr>
        <w:spacing w:after="120"/>
        <w:rPr>
          <w:bCs/>
          <w:color w:val="000000" w:themeColor="text1"/>
          <w:lang w:val="en-US"/>
        </w:rPr>
      </w:pPr>
    </w:p>
    <w:p w14:paraId="68577273" w14:textId="77777777" w:rsidR="0097684F" w:rsidRDefault="0097684F" w:rsidP="0097684F">
      <w:pPr>
        <w:spacing w:after="120"/>
        <w:rPr>
          <w:bCs/>
          <w:color w:val="000000" w:themeColor="text1"/>
          <w:lang w:val="en-US"/>
        </w:rPr>
      </w:pPr>
    </w:p>
    <w:p w14:paraId="7CB70A44" w14:textId="30F72D42" w:rsidR="00925FEE" w:rsidRPr="00EE014E" w:rsidRDefault="00925FEE" w:rsidP="0097684F">
      <w:pPr>
        <w:spacing w:after="120"/>
        <w:rPr>
          <w:bCs/>
          <w:color w:val="000000" w:themeColor="text1"/>
          <w:lang w:val="en-US"/>
        </w:rPr>
        <w:sectPr w:rsidR="00925FEE" w:rsidRPr="00EE014E" w:rsidSect="000F33EC">
          <w:footnotePr>
            <w:numRestart w:val="eachSect"/>
          </w:footnotePr>
          <w:pgSz w:w="11900" w:h="16840"/>
          <w:pgMar w:top="1133" w:right="1133" w:bottom="1416" w:left="1133" w:header="850" w:footer="340" w:gutter="0"/>
          <w:cols w:space="720"/>
          <w:formProt w:val="0"/>
          <w:docGrid w:linePitch="272"/>
        </w:sectPr>
      </w:pPr>
    </w:p>
    <w:p w14:paraId="1511CB1E" w14:textId="02793063" w:rsidR="003673C7" w:rsidRPr="006D2B52" w:rsidRDefault="006D2B52" w:rsidP="006D2B52">
      <w:pPr>
        <w:pStyle w:val="Heading1"/>
        <w:numPr>
          <w:ilvl w:val="0"/>
          <w:numId w:val="12"/>
        </w:numPr>
        <w:rPr>
          <w:lang w:val="en-US" w:eastAsia="ja-JP"/>
        </w:rPr>
      </w:pPr>
      <w:r w:rsidRPr="006D2B52">
        <w:rPr>
          <w:lang w:val="en-US" w:eastAsia="ja-JP"/>
        </w:rPr>
        <w:lastRenderedPageBreak/>
        <w:t>UE feature list</w:t>
      </w:r>
    </w:p>
    <w:tbl>
      <w:tblPr>
        <w:tblW w:w="198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091"/>
        <w:gridCol w:w="1701"/>
        <w:gridCol w:w="851"/>
        <w:gridCol w:w="1417"/>
        <w:gridCol w:w="1843"/>
        <w:gridCol w:w="992"/>
        <w:gridCol w:w="1134"/>
        <w:gridCol w:w="1134"/>
        <w:gridCol w:w="1559"/>
        <w:gridCol w:w="709"/>
        <w:gridCol w:w="1559"/>
      </w:tblGrid>
      <w:tr w:rsidR="006D2B52" w:rsidRPr="00384CEF" w14:paraId="51D11666" w14:textId="77777777" w:rsidTr="006D2B52">
        <w:trPr>
          <w:trHeight w:val="20"/>
        </w:trPr>
        <w:tc>
          <w:tcPr>
            <w:tcW w:w="1426" w:type="dxa"/>
            <w:shd w:val="clear" w:color="auto" w:fill="auto"/>
          </w:tcPr>
          <w:p w14:paraId="4B480BF1"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Features</w:t>
            </w:r>
          </w:p>
        </w:tc>
        <w:tc>
          <w:tcPr>
            <w:tcW w:w="698" w:type="dxa"/>
            <w:shd w:val="clear" w:color="auto" w:fill="auto"/>
          </w:tcPr>
          <w:p w14:paraId="25FF0142"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Index</w:t>
            </w:r>
          </w:p>
        </w:tc>
        <w:tc>
          <w:tcPr>
            <w:tcW w:w="1726" w:type="dxa"/>
            <w:shd w:val="clear" w:color="auto" w:fill="auto"/>
          </w:tcPr>
          <w:p w14:paraId="42DFF93F"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Feature group</w:t>
            </w:r>
          </w:p>
        </w:tc>
        <w:tc>
          <w:tcPr>
            <w:tcW w:w="3091" w:type="dxa"/>
            <w:shd w:val="clear" w:color="auto" w:fill="auto"/>
          </w:tcPr>
          <w:p w14:paraId="2569CF8A"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Components</w:t>
            </w:r>
          </w:p>
          <w:p w14:paraId="674B98F4" w14:textId="77777777" w:rsidR="006D2B52" w:rsidRPr="00384CEF" w:rsidRDefault="006D2B52" w:rsidP="004F0647">
            <w:pPr>
              <w:keepNext/>
              <w:keepLines/>
              <w:jc w:val="center"/>
              <w:rPr>
                <w:rFonts w:ascii="Arial" w:hAnsi="Arial" w:cs="Arial"/>
                <w:b/>
                <w:color w:val="000000"/>
                <w:sz w:val="18"/>
                <w:lang w:val="en-US"/>
              </w:rPr>
            </w:pPr>
          </w:p>
        </w:tc>
        <w:tc>
          <w:tcPr>
            <w:tcW w:w="1701" w:type="dxa"/>
            <w:shd w:val="clear" w:color="auto" w:fill="auto"/>
          </w:tcPr>
          <w:p w14:paraId="5A37AED7"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Prerequisite feature groups</w:t>
            </w:r>
          </w:p>
        </w:tc>
        <w:tc>
          <w:tcPr>
            <w:tcW w:w="851" w:type="dxa"/>
            <w:shd w:val="clear" w:color="auto" w:fill="auto"/>
          </w:tcPr>
          <w:p w14:paraId="253B6505"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Need for the gNB to know if the feature is supported</w:t>
            </w:r>
          </w:p>
        </w:tc>
        <w:tc>
          <w:tcPr>
            <w:tcW w:w="1417" w:type="dxa"/>
            <w:shd w:val="clear" w:color="auto" w:fill="auto"/>
          </w:tcPr>
          <w:p w14:paraId="729F2E68" w14:textId="77777777" w:rsidR="006D2B52" w:rsidRPr="00384CEF" w:rsidRDefault="006D2B52" w:rsidP="004F0647">
            <w:pPr>
              <w:keepNext/>
              <w:keepLines/>
              <w:jc w:val="center"/>
              <w:rPr>
                <w:rFonts w:ascii="Arial" w:hAnsi="Arial" w:cs="Arial"/>
                <w:b/>
                <w:color w:val="000000"/>
                <w:sz w:val="18"/>
                <w:lang w:val="en-US"/>
              </w:rPr>
            </w:pPr>
            <w:r w:rsidRPr="00384CEF">
              <w:rPr>
                <w:rFonts w:ascii="Arial" w:eastAsia="Gulim" w:hAnsi="Arial" w:cs="Arial"/>
                <w:b/>
                <w:color w:val="000000"/>
                <w:sz w:val="18"/>
                <w:lang w:val="en-US"/>
              </w:rPr>
              <w:t xml:space="preserve">Applicable to </w:t>
            </w:r>
            <w:r w:rsidRPr="00384CEF">
              <w:rPr>
                <w:rFonts w:ascii="Arial" w:hAnsi="Arial" w:cs="Arial"/>
                <w:b/>
                <w:color w:val="000000"/>
                <w:sz w:val="18"/>
                <w:lang w:val="en-US"/>
              </w:rPr>
              <w:t>the capability signalling exchange between UEs (V2X WI only)”.</w:t>
            </w:r>
          </w:p>
        </w:tc>
        <w:tc>
          <w:tcPr>
            <w:tcW w:w="1843" w:type="dxa"/>
          </w:tcPr>
          <w:p w14:paraId="5FC43175" w14:textId="77777777" w:rsidR="006D2B52" w:rsidRPr="00384CEF" w:rsidRDefault="006D2B52" w:rsidP="004F0647">
            <w:pPr>
              <w:keepNext/>
              <w:keepLines/>
              <w:rPr>
                <w:rFonts w:ascii="Arial" w:hAnsi="Arial" w:cs="Arial"/>
                <w:b/>
                <w:color w:val="000000"/>
                <w:sz w:val="18"/>
                <w:lang w:val="en-US"/>
              </w:rPr>
            </w:pPr>
            <w:r w:rsidRPr="00384CEF">
              <w:rPr>
                <w:rFonts w:ascii="Arial" w:hAnsi="Arial" w:cs="Arial"/>
                <w:b/>
                <w:color w:val="000000"/>
                <w:sz w:val="18"/>
                <w:lang w:val="en-US"/>
              </w:rPr>
              <w:t>Consequence if the feature is not supported by the UE</w:t>
            </w:r>
          </w:p>
        </w:tc>
        <w:tc>
          <w:tcPr>
            <w:tcW w:w="992" w:type="dxa"/>
            <w:shd w:val="clear" w:color="auto" w:fill="auto"/>
          </w:tcPr>
          <w:p w14:paraId="04AA4214" w14:textId="77777777" w:rsidR="006D2B52" w:rsidRPr="00384CEF" w:rsidRDefault="006D2B52" w:rsidP="004F0647">
            <w:pPr>
              <w:keepNext/>
              <w:keepLines/>
              <w:rPr>
                <w:rFonts w:ascii="Arial" w:hAnsi="Arial" w:cs="Arial"/>
                <w:b/>
                <w:color w:val="000000"/>
                <w:sz w:val="18"/>
                <w:lang w:val="en-US"/>
              </w:rPr>
            </w:pPr>
            <w:r w:rsidRPr="00384CEF">
              <w:rPr>
                <w:rFonts w:ascii="Arial" w:hAnsi="Arial" w:cs="Arial"/>
                <w:b/>
                <w:color w:val="000000"/>
                <w:sz w:val="18"/>
                <w:lang w:val="en-US"/>
              </w:rPr>
              <w:t>Type</w:t>
            </w:r>
          </w:p>
          <w:p w14:paraId="12B5B450" w14:textId="77777777" w:rsidR="006D2B52" w:rsidRPr="00384CEF" w:rsidRDefault="006D2B52" w:rsidP="004F0647">
            <w:pPr>
              <w:keepNext/>
              <w:keepLines/>
              <w:rPr>
                <w:rFonts w:ascii="Arial" w:hAnsi="Arial" w:cs="Arial"/>
                <w:b/>
                <w:color w:val="000000"/>
                <w:sz w:val="18"/>
                <w:lang w:val="en-US"/>
              </w:rPr>
            </w:pPr>
            <w:r w:rsidRPr="00384CEF">
              <w:rPr>
                <w:rFonts w:ascii="Arial" w:hAnsi="Arial" w:cs="Arial"/>
                <w:b/>
                <w:color w:val="000000"/>
                <w:sz w:val="18"/>
                <w:lang w:val="en-US"/>
              </w:rPr>
              <w:t>(the ‘type’ definition from UE features should be based on the granularity of 1) Per UE or 2) Per Band or 3) Per BC or 4) Per FS or 5) Per FSPC)</w:t>
            </w:r>
          </w:p>
        </w:tc>
        <w:tc>
          <w:tcPr>
            <w:tcW w:w="1134" w:type="dxa"/>
            <w:shd w:val="clear" w:color="auto" w:fill="auto"/>
          </w:tcPr>
          <w:p w14:paraId="5FD319A2"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Need of FDD/TDD differentiation</w:t>
            </w:r>
          </w:p>
        </w:tc>
        <w:tc>
          <w:tcPr>
            <w:tcW w:w="1134" w:type="dxa"/>
            <w:shd w:val="clear" w:color="auto" w:fill="auto"/>
          </w:tcPr>
          <w:p w14:paraId="408B3B03"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Need of FR1/FR2 differentiation</w:t>
            </w:r>
          </w:p>
        </w:tc>
        <w:tc>
          <w:tcPr>
            <w:tcW w:w="1559" w:type="dxa"/>
          </w:tcPr>
          <w:p w14:paraId="3863AFCB"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Capability interpretation for mixture of FDD/TDD and/or FR1/FR2</w:t>
            </w:r>
          </w:p>
        </w:tc>
        <w:tc>
          <w:tcPr>
            <w:tcW w:w="709" w:type="dxa"/>
            <w:shd w:val="clear" w:color="auto" w:fill="auto"/>
          </w:tcPr>
          <w:p w14:paraId="635BC015"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Note</w:t>
            </w:r>
          </w:p>
        </w:tc>
        <w:tc>
          <w:tcPr>
            <w:tcW w:w="1559" w:type="dxa"/>
            <w:shd w:val="clear" w:color="auto" w:fill="auto"/>
          </w:tcPr>
          <w:p w14:paraId="51E4CE74" w14:textId="77777777" w:rsidR="006D2B52" w:rsidRPr="00384CEF" w:rsidRDefault="006D2B52" w:rsidP="004F0647">
            <w:pPr>
              <w:keepNext/>
              <w:keepLines/>
              <w:jc w:val="center"/>
              <w:rPr>
                <w:rFonts w:ascii="Arial" w:hAnsi="Arial" w:cs="Arial"/>
                <w:b/>
                <w:color w:val="000000"/>
                <w:sz w:val="18"/>
                <w:lang w:val="en-US"/>
              </w:rPr>
            </w:pPr>
            <w:r w:rsidRPr="00384CEF">
              <w:rPr>
                <w:rFonts w:ascii="Arial" w:hAnsi="Arial" w:cs="Arial"/>
                <w:b/>
                <w:color w:val="000000"/>
                <w:sz w:val="18"/>
                <w:lang w:val="en-US"/>
              </w:rPr>
              <w:t>Mandatory/Optional</w:t>
            </w:r>
          </w:p>
        </w:tc>
      </w:tr>
      <w:tr w:rsidR="006D2B52" w:rsidRPr="00384CEF" w14:paraId="3D67EE20" w14:textId="77777777" w:rsidTr="006D2B52">
        <w:trPr>
          <w:trHeight w:val="363"/>
        </w:trPr>
        <w:tc>
          <w:tcPr>
            <w:tcW w:w="1426" w:type="dxa"/>
            <w:shd w:val="clear" w:color="auto" w:fill="auto"/>
          </w:tcPr>
          <w:p w14:paraId="5D553439" w14:textId="77777777" w:rsidR="006D2B52" w:rsidRPr="00384CEF" w:rsidRDefault="006D2B52" w:rsidP="004F0647">
            <w:pPr>
              <w:snapToGrid w:val="0"/>
              <w:spacing w:afterLines="50" w:after="120"/>
              <w:contextualSpacing/>
              <w:rPr>
                <w:rFonts w:ascii="Arial" w:hAnsi="Arial" w:cs="Arial"/>
                <w:color w:val="000000"/>
                <w:sz w:val="18"/>
                <w:lang w:val="en-US"/>
              </w:rPr>
            </w:pPr>
            <w:r w:rsidRPr="00384CEF">
              <w:rPr>
                <w:rFonts w:ascii="Arial" w:hAnsi="Arial" w:cs="Arial"/>
                <w:color w:val="000000"/>
                <w:sz w:val="18"/>
                <w:lang w:val="en-US"/>
              </w:rPr>
              <w:t>39.</w:t>
            </w:r>
          </w:p>
          <w:p w14:paraId="28C16180" w14:textId="77777777" w:rsidR="006D2B52" w:rsidRPr="00384CEF" w:rsidRDefault="006D2B52" w:rsidP="004F0647">
            <w:pPr>
              <w:snapToGrid w:val="0"/>
              <w:spacing w:afterLines="50" w:after="120"/>
              <w:contextualSpacing/>
              <w:rPr>
                <w:rFonts w:ascii="Arial" w:hAnsi="Arial" w:cs="Arial"/>
                <w:color w:val="000000"/>
                <w:sz w:val="18"/>
                <w:lang w:val="en-US"/>
              </w:rPr>
            </w:pPr>
            <w:r w:rsidRPr="00384CEF">
              <w:rPr>
                <w:rFonts w:ascii="Arial" w:hAnsi="Arial" w:cs="Arial"/>
                <w:sz w:val="18"/>
                <w:szCs w:val="18"/>
                <w:lang w:val="en-US"/>
              </w:rPr>
              <w:t>NR_Mob_enh2</w:t>
            </w:r>
          </w:p>
        </w:tc>
        <w:tc>
          <w:tcPr>
            <w:tcW w:w="698" w:type="dxa"/>
            <w:shd w:val="clear" w:color="auto" w:fill="auto"/>
          </w:tcPr>
          <w:p w14:paraId="1DC62978" w14:textId="77777777" w:rsidR="006D2B52" w:rsidRPr="00384CEF" w:rsidRDefault="006D2B52" w:rsidP="004F0647">
            <w:pPr>
              <w:keepNext/>
              <w:keepLines/>
              <w:rPr>
                <w:rFonts w:ascii="Arial" w:eastAsiaTheme="minorEastAsia" w:hAnsi="Arial" w:cs="Arial"/>
                <w:bCs/>
                <w:color w:val="000000"/>
                <w:sz w:val="18"/>
                <w:lang w:val="en-US"/>
              </w:rPr>
            </w:pPr>
            <w:r w:rsidRPr="00384CEF">
              <w:rPr>
                <w:rFonts w:ascii="Arial" w:eastAsiaTheme="minorEastAsia" w:hAnsi="Arial" w:cs="Arial"/>
                <w:bCs/>
                <w:color w:val="000000"/>
                <w:sz w:val="18"/>
                <w:lang w:val="en-US"/>
              </w:rPr>
              <w:t>39-x1</w:t>
            </w:r>
          </w:p>
        </w:tc>
        <w:tc>
          <w:tcPr>
            <w:tcW w:w="1726" w:type="dxa"/>
            <w:shd w:val="clear" w:color="auto" w:fill="auto"/>
          </w:tcPr>
          <w:p w14:paraId="56319C63"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Measurement validation based on EMR measurement during connection setup/resume</w:t>
            </w:r>
          </w:p>
        </w:tc>
        <w:tc>
          <w:tcPr>
            <w:tcW w:w="3091" w:type="dxa"/>
            <w:shd w:val="clear" w:color="auto" w:fill="auto"/>
          </w:tcPr>
          <w:p w14:paraId="484959DB"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Indicate UE supporting measurement validation based on EMR measurement during IDLE/INACTIVE state and reporting for fast CA/DC setup</w:t>
            </w:r>
          </w:p>
        </w:tc>
        <w:tc>
          <w:tcPr>
            <w:tcW w:w="1701" w:type="dxa"/>
            <w:shd w:val="clear" w:color="auto" w:fill="auto"/>
          </w:tcPr>
          <w:p w14:paraId="410902DF" w14:textId="77777777" w:rsidR="006D2B52" w:rsidRPr="00384CEF" w:rsidRDefault="006D2B52" w:rsidP="004F0647">
            <w:pPr>
              <w:keepNext/>
              <w:keepLines/>
              <w:rPr>
                <w:rFonts w:ascii="Arial" w:hAnsi="Arial" w:cs="Arial"/>
                <w:bCs/>
                <w:color w:val="000000"/>
                <w:sz w:val="18"/>
                <w:lang w:val="en-US"/>
              </w:rPr>
            </w:pPr>
            <w:r w:rsidRPr="002554B9">
              <w:rPr>
                <w:rFonts w:ascii="Helvetica" w:hAnsi="Helvetica" w:cs="Helvetica"/>
                <w:i/>
                <w:iCs/>
                <w:color w:val="000000"/>
                <w:sz w:val="18"/>
                <w:szCs w:val="18"/>
                <w:lang w:val="en-US" w:eastAsia="zh-CN"/>
              </w:rPr>
              <w:t>idleInactiveNR-MeasReport-r16</w:t>
            </w:r>
            <w:r w:rsidRPr="00384CEF">
              <w:rPr>
                <w:rFonts w:cs="Arial"/>
                <w:i/>
                <w:lang w:eastAsia="zh-CN"/>
              </w:rPr>
              <w:t xml:space="preserve"> </w:t>
            </w:r>
            <w:r w:rsidRPr="002554B9">
              <w:rPr>
                <w:rFonts w:ascii="Helvetica" w:hAnsi="Helvetica" w:cs="Helvetica"/>
                <w:color w:val="000000"/>
                <w:sz w:val="18"/>
                <w:szCs w:val="18"/>
                <w:lang w:val="en-US" w:eastAsia="zh-CN"/>
              </w:rPr>
              <w:t>or</w:t>
            </w:r>
            <w:r w:rsidRPr="00384CEF">
              <w:rPr>
                <w:rFonts w:cs="Arial"/>
                <w:i/>
                <w:lang w:eastAsia="zh-CN"/>
              </w:rPr>
              <w:t xml:space="preserve"> </w:t>
            </w:r>
            <w:r w:rsidRPr="00384CEF">
              <w:rPr>
                <w:rFonts w:ascii="Helvetica" w:hAnsi="Helvetica" w:cs="Helvetica"/>
                <w:i/>
                <w:iCs/>
                <w:color w:val="000000"/>
                <w:sz w:val="18"/>
                <w:szCs w:val="18"/>
                <w:lang w:val="en-US" w:eastAsia="zh-CN"/>
              </w:rPr>
              <w:t>idleInactiveEUTRA-MeasReport-r16</w:t>
            </w:r>
          </w:p>
        </w:tc>
        <w:tc>
          <w:tcPr>
            <w:tcW w:w="851" w:type="dxa"/>
            <w:shd w:val="clear" w:color="auto" w:fill="auto"/>
          </w:tcPr>
          <w:p w14:paraId="11BFF676"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Yes</w:t>
            </w:r>
          </w:p>
        </w:tc>
        <w:tc>
          <w:tcPr>
            <w:tcW w:w="1417" w:type="dxa"/>
            <w:shd w:val="clear" w:color="auto" w:fill="auto"/>
          </w:tcPr>
          <w:p w14:paraId="0C5ED15B" w14:textId="77777777" w:rsidR="006D2B52" w:rsidRPr="00384CEF" w:rsidRDefault="006D2B52" w:rsidP="004F0647">
            <w:pPr>
              <w:keepNext/>
              <w:keepLines/>
              <w:rPr>
                <w:rFonts w:ascii="Arial" w:eastAsia="Gulim" w:hAnsi="Arial" w:cs="Arial"/>
                <w:bCs/>
                <w:color w:val="000000"/>
                <w:sz w:val="18"/>
                <w:lang w:val="en-US"/>
              </w:rPr>
            </w:pPr>
            <w:r w:rsidRPr="00384CEF">
              <w:rPr>
                <w:rFonts w:ascii="Arial" w:eastAsia="Gulim" w:hAnsi="Arial" w:cs="Arial"/>
                <w:bCs/>
                <w:color w:val="000000"/>
                <w:sz w:val="18"/>
                <w:lang w:val="en-US"/>
              </w:rPr>
              <w:t>N/A</w:t>
            </w:r>
          </w:p>
        </w:tc>
        <w:tc>
          <w:tcPr>
            <w:tcW w:w="1843" w:type="dxa"/>
          </w:tcPr>
          <w:p w14:paraId="2C924449"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UE does not support EMR measurement validation during connection setup/resume and reporting for fast CA/DC</w:t>
            </w:r>
          </w:p>
        </w:tc>
        <w:tc>
          <w:tcPr>
            <w:tcW w:w="992" w:type="dxa"/>
            <w:shd w:val="clear" w:color="auto" w:fill="auto"/>
          </w:tcPr>
          <w:p w14:paraId="02526F27"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 xml:space="preserve">Per-UE </w:t>
            </w:r>
          </w:p>
        </w:tc>
        <w:tc>
          <w:tcPr>
            <w:tcW w:w="1134" w:type="dxa"/>
            <w:shd w:val="clear" w:color="auto" w:fill="auto"/>
          </w:tcPr>
          <w:p w14:paraId="2F7EDB59"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No</w:t>
            </w:r>
          </w:p>
        </w:tc>
        <w:tc>
          <w:tcPr>
            <w:tcW w:w="1134" w:type="dxa"/>
            <w:shd w:val="clear" w:color="auto" w:fill="auto"/>
          </w:tcPr>
          <w:p w14:paraId="30B1B74F"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Yes</w:t>
            </w:r>
          </w:p>
        </w:tc>
        <w:tc>
          <w:tcPr>
            <w:tcW w:w="1559" w:type="dxa"/>
          </w:tcPr>
          <w:p w14:paraId="2CD2113D"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sz w:val="18"/>
                <w:szCs w:val="18"/>
                <w:lang w:val="en-US"/>
              </w:rPr>
              <w:t>N/A</w:t>
            </w:r>
          </w:p>
        </w:tc>
        <w:tc>
          <w:tcPr>
            <w:tcW w:w="709" w:type="dxa"/>
            <w:shd w:val="clear" w:color="auto" w:fill="auto"/>
          </w:tcPr>
          <w:p w14:paraId="11EC2C33" w14:textId="77777777" w:rsidR="006D2B52" w:rsidRPr="00384CEF" w:rsidRDefault="006D2B52" w:rsidP="004F0647">
            <w:pPr>
              <w:keepNext/>
              <w:keepLines/>
              <w:rPr>
                <w:rFonts w:ascii="Arial" w:hAnsi="Arial" w:cs="Arial"/>
                <w:bCs/>
                <w:color w:val="000000"/>
                <w:sz w:val="18"/>
                <w:lang w:val="en-US"/>
              </w:rPr>
            </w:pPr>
          </w:p>
        </w:tc>
        <w:tc>
          <w:tcPr>
            <w:tcW w:w="1559" w:type="dxa"/>
            <w:shd w:val="clear" w:color="auto" w:fill="auto"/>
          </w:tcPr>
          <w:p w14:paraId="2C686E9B"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Optional with capability</w:t>
            </w:r>
            <w:r w:rsidRPr="00384CEF">
              <w:rPr>
                <w:rFonts w:ascii="Arial" w:eastAsia="PMingLiU" w:hAnsi="Arial" w:cs="Arial"/>
                <w:bCs/>
                <w:color w:val="000000"/>
                <w:sz w:val="18"/>
                <w:lang w:val="en-US" w:eastAsia="zh-TW"/>
              </w:rPr>
              <w:t xml:space="preserve"> signaling</w:t>
            </w:r>
          </w:p>
        </w:tc>
      </w:tr>
      <w:tr w:rsidR="006D2B52" w14:paraId="080EAC41" w14:textId="77777777" w:rsidTr="006D2B52">
        <w:trPr>
          <w:trHeight w:val="363"/>
        </w:trPr>
        <w:tc>
          <w:tcPr>
            <w:tcW w:w="1426" w:type="dxa"/>
            <w:shd w:val="clear" w:color="auto" w:fill="auto"/>
          </w:tcPr>
          <w:p w14:paraId="572715D8" w14:textId="77777777" w:rsidR="006D2B52" w:rsidRPr="00384CEF" w:rsidRDefault="006D2B52" w:rsidP="004F0647">
            <w:pPr>
              <w:snapToGrid w:val="0"/>
              <w:spacing w:afterLines="50" w:after="120"/>
              <w:contextualSpacing/>
              <w:rPr>
                <w:rFonts w:ascii="Arial" w:hAnsi="Arial" w:cs="Arial"/>
                <w:color w:val="000000"/>
                <w:sz w:val="18"/>
                <w:lang w:val="en-US"/>
              </w:rPr>
            </w:pPr>
          </w:p>
        </w:tc>
        <w:tc>
          <w:tcPr>
            <w:tcW w:w="698" w:type="dxa"/>
            <w:shd w:val="clear" w:color="auto" w:fill="auto"/>
          </w:tcPr>
          <w:p w14:paraId="117DDF9B" w14:textId="77777777" w:rsidR="006D2B52" w:rsidRPr="00384CEF" w:rsidRDefault="006D2B52" w:rsidP="004F0647">
            <w:pPr>
              <w:keepNext/>
              <w:keepLines/>
              <w:rPr>
                <w:rFonts w:ascii="Arial" w:eastAsiaTheme="minorEastAsia" w:hAnsi="Arial" w:cs="Arial"/>
                <w:bCs/>
                <w:color w:val="000000"/>
                <w:sz w:val="18"/>
                <w:lang w:val="en-US"/>
              </w:rPr>
            </w:pPr>
            <w:r w:rsidRPr="00384CEF">
              <w:rPr>
                <w:rFonts w:ascii="Arial" w:eastAsiaTheme="minorEastAsia" w:hAnsi="Arial" w:cs="Arial"/>
                <w:bCs/>
                <w:color w:val="000000"/>
                <w:sz w:val="18"/>
                <w:lang w:val="en-US"/>
              </w:rPr>
              <w:t>39-x2</w:t>
            </w:r>
          </w:p>
        </w:tc>
        <w:tc>
          <w:tcPr>
            <w:tcW w:w="1726" w:type="dxa"/>
            <w:shd w:val="clear" w:color="auto" w:fill="auto"/>
          </w:tcPr>
          <w:p w14:paraId="24F7F282"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Measurement validation based on non-EMR measurement during connection setup/resume</w:t>
            </w:r>
          </w:p>
        </w:tc>
        <w:tc>
          <w:tcPr>
            <w:tcW w:w="3091" w:type="dxa"/>
            <w:shd w:val="clear" w:color="auto" w:fill="auto"/>
          </w:tcPr>
          <w:p w14:paraId="571F3DB7"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Indicate UE supporting measurement validation based on non-EMR measurement during IDLE/INACTIVE state and reporting for fast CA/DC setup</w:t>
            </w:r>
          </w:p>
        </w:tc>
        <w:tc>
          <w:tcPr>
            <w:tcW w:w="1701" w:type="dxa"/>
            <w:shd w:val="clear" w:color="auto" w:fill="auto"/>
          </w:tcPr>
          <w:p w14:paraId="648F832C" w14:textId="77777777" w:rsidR="006D2B52" w:rsidRPr="00384CEF" w:rsidRDefault="006D2B52" w:rsidP="004F0647">
            <w:pPr>
              <w:keepNext/>
              <w:keepLines/>
              <w:rPr>
                <w:rFonts w:ascii="Arial" w:hAnsi="Arial" w:cs="Arial"/>
                <w:bCs/>
                <w:color w:val="000000"/>
                <w:sz w:val="18"/>
                <w:lang w:val="en-US"/>
              </w:rPr>
            </w:pPr>
          </w:p>
        </w:tc>
        <w:tc>
          <w:tcPr>
            <w:tcW w:w="851" w:type="dxa"/>
            <w:shd w:val="clear" w:color="auto" w:fill="auto"/>
          </w:tcPr>
          <w:p w14:paraId="70A82C30"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Yes</w:t>
            </w:r>
          </w:p>
        </w:tc>
        <w:tc>
          <w:tcPr>
            <w:tcW w:w="1417" w:type="dxa"/>
            <w:shd w:val="clear" w:color="auto" w:fill="auto"/>
          </w:tcPr>
          <w:p w14:paraId="7EB41B47" w14:textId="77777777" w:rsidR="006D2B52" w:rsidRPr="00384CEF" w:rsidRDefault="006D2B52" w:rsidP="004F0647">
            <w:pPr>
              <w:keepNext/>
              <w:keepLines/>
              <w:rPr>
                <w:rFonts w:ascii="Arial" w:eastAsia="Gulim" w:hAnsi="Arial" w:cs="Arial"/>
                <w:bCs/>
                <w:color w:val="000000"/>
                <w:sz w:val="18"/>
                <w:lang w:val="en-US"/>
              </w:rPr>
            </w:pPr>
            <w:r w:rsidRPr="00384CEF">
              <w:rPr>
                <w:rFonts w:ascii="Arial" w:eastAsia="Gulim" w:hAnsi="Arial" w:cs="Arial"/>
                <w:bCs/>
                <w:color w:val="000000"/>
                <w:sz w:val="18"/>
                <w:lang w:val="en-US"/>
              </w:rPr>
              <w:t>N/A</w:t>
            </w:r>
          </w:p>
        </w:tc>
        <w:tc>
          <w:tcPr>
            <w:tcW w:w="1843" w:type="dxa"/>
          </w:tcPr>
          <w:p w14:paraId="5E877DEF"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UE does not support non-EMR measurement validation during connection setup/resume and reporting for fast CA/DC</w:t>
            </w:r>
          </w:p>
        </w:tc>
        <w:tc>
          <w:tcPr>
            <w:tcW w:w="992" w:type="dxa"/>
            <w:shd w:val="clear" w:color="auto" w:fill="auto"/>
          </w:tcPr>
          <w:p w14:paraId="0EF71F81"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 xml:space="preserve">Per-UE </w:t>
            </w:r>
          </w:p>
        </w:tc>
        <w:tc>
          <w:tcPr>
            <w:tcW w:w="1134" w:type="dxa"/>
            <w:shd w:val="clear" w:color="auto" w:fill="auto"/>
          </w:tcPr>
          <w:p w14:paraId="39805DFF"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No</w:t>
            </w:r>
          </w:p>
        </w:tc>
        <w:tc>
          <w:tcPr>
            <w:tcW w:w="1134" w:type="dxa"/>
            <w:shd w:val="clear" w:color="auto" w:fill="auto"/>
          </w:tcPr>
          <w:p w14:paraId="0CA2DA14" w14:textId="77777777" w:rsidR="006D2B52" w:rsidRPr="00384CEF"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 xml:space="preserve">Yes </w:t>
            </w:r>
          </w:p>
        </w:tc>
        <w:tc>
          <w:tcPr>
            <w:tcW w:w="1559" w:type="dxa"/>
          </w:tcPr>
          <w:p w14:paraId="5E94EDF5" w14:textId="77777777" w:rsidR="006D2B52" w:rsidRPr="00384CEF" w:rsidRDefault="006D2B52" w:rsidP="004F0647">
            <w:pPr>
              <w:keepNext/>
              <w:keepLines/>
              <w:rPr>
                <w:rFonts w:ascii="Arial" w:hAnsi="Arial" w:cs="Arial"/>
                <w:sz w:val="18"/>
                <w:szCs w:val="18"/>
                <w:lang w:val="en-US"/>
              </w:rPr>
            </w:pPr>
            <w:r w:rsidRPr="00384CEF">
              <w:rPr>
                <w:rFonts w:ascii="Arial" w:hAnsi="Arial" w:cs="Arial"/>
                <w:sz w:val="18"/>
                <w:szCs w:val="18"/>
                <w:lang w:val="en-US"/>
              </w:rPr>
              <w:t>N/A</w:t>
            </w:r>
          </w:p>
        </w:tc>
        <w:tc>
          <w:tcPr>
            <w:tcW w:w="709" w:type="dxa"/>
            <w:shd w:val="clear" w:color="auto" w:fill="auto"/>
          </w:tcPr>
          <w:p w14:paraId="1279AECB" w14:textId="77777777" w:rsidR="006D2B52" w:rsidRPr="00384CEF" w:rsidRDefault="006D2B52" w:rsidP="004F0647">
            <w:pPr>
              <w:keepNext/>
              <w:keepLines/>
              <w:rPr>
                <w:rFonts w:ascii="Arial" w:hAnsi="Arial" w:cs="Arial"/>
                <w:bCs/>
                <w:color w:val="000000"/>
                <w:sz w:val="18"/>
                <w:lang w:val="en-US"/>
              </w:rPr>
            </w:pPr>
          </w:p>
        </w:tc>
        <w:tc>
          <w:tcPr>
            <w:tcW w:w="1559" w:type="dxa"/>
            <w:shd w:val="clear" w:color="auto" w:fill="auto"/>
          </w:tcPr>
          <w:p w14:paraId="61334C9A" w14:textId="77777777" w:rsidR="006D2B52" w:rsidRDefault="006D2B52" w:rsidP="004F0647">
            <w:pPr>
              <w:keepNext/>
              <w:keepLines/>
              <w:rPr>
                <w:rFonts w:ascii="Arial" w:hAnsi="Arial" w:cs="Arial"/>
                <w:bCs/>
                <w:color w:val="000000"/>
                <w:sz w:val="18"/>
                <w:lang w:val="en-US"/>
              </w:rPr>
            </w:pPr>
            <w:r w:rsidRPr="00384CEF">
              <w:rPr>
                <w:rFonts w:ascii="Arial" w:hAnsi="Arial" w:cs="Arial"/>
                <w:bCs/>
                <w:color w:val="000000"/>
                <w:sz w:val="18"/>
                <w:lang w:val="en-US"/>
              </w:rPr>
              <w:t>Optional with capability</w:t>
            </w:r>
            <w:r w:rsidRPr="00384CEF">
              <w:rPr>
                <w:rFonts w:ascii="Arial" w:eastAsia="PMingLiU" w:hAnsi="Arial" w:cs="Arial"/>
                <w:bCs/>
                <w:color w:val="000000"/>
                <w:sz w:val="18"/>
                <w:lang w:val="en-US" w:eastAsia="zh-TW"/>
              </w:rPr>
              <w:t xml:space="preserve"> signaling</w:t>
            </w:r>
          </w:p>
        </w:tc>
      </w:tr>
    </w:tbl>
    <w:p w14:paraId="27874130" w14:textId="77777777" w:rsidR="002114D3" w:rsidRDefault="002114D3" w:rsidP="006D2B52">
      <w:pPr>
        <w:rPr>
          <w:color w:val="000000" w:themeColor="text1"/>
          <w:lang w:val="en-US"/>
        </w:rPr>
        <w:sectPr w:rsidR="002114D3" w:rsidSect="000F33EC">
          <w:footnotePr>
            <w:numRestart w:val="eachSect"/>
          </w:footnotePr>
          <w:pgSz w:w="20160" w:h="12240" w:orient="landscape"/>
          <w:pgMar w:top="1133" w:right="1416" w:bottom="1133" w:left="1133" w:header="850" w:footer="340" w:gutter="0"/>
          <w:cols w:space="720"/>
          <w:formProt w:val="0"/>
          <w:docGrid w:linePitch="272"/>
        </w:sectPr>
      </w:pPr>
    </w:p>
    <w:p w14:paraId="0ADC971F" w14:textId="4661178B" w:rsidR="002114D3" w:rsidRDefault="002114D3" w:rsidP="002114D3">
      <w:pPr>
        <w:pStyle w:val="Heading1"/>
        <w:rPr>
          <w:lang w:val="en-US" w:eastAsia="ja-JP"/>
        </w:rPr>
      </w:pPr>
      <w:r>
        <w:rPr>
          <w:lang w:val="en-US" w:eastAsia="ja-JP"/>
        </w:rPr>
        <w:lastRenderedPageBreak/>
        <w:t>Annex: test case list</w:t>
      </w:r>
    </w:p>
    <w:p w14:paraId="104D5EA9" w14:textId="77777777" w:rsidR="002114D3" w:rsidRPr="007C21F4" w:rsidRDefault="002114D3" w:rsidP="002114D3">
      <w:pPr>
        <w:rPr>
          <w:color w:val="000000" w:themeColor="text1"/>
          <w:u w:val="single"/>
          <w:lang w:val="en-US"/>
        </w:rPr>
      </w:pPr>
      <w:r w:rsidRPr="007C21F4">
        <w:rPr>
          <w:color w:val="000000" w:themeColor="text1"/>
          <w:u w:val="single"/>
          <w:lang w:val="en-US"/>
        </w:rPr>
        <w:t>Agreement:</w:t>
      </w:r>
    </w:p>
    <w:tbl>
      <w:tblPr>
        <w:tblStyle w:val="TableGrid"/>
        <w:tblW w:w="0" w:type="auto"/>
        <w:tblLook w:val="04A0" w:firstRow="1" w:lastRow="0" w:firstColumn="1" w:lastColumn="0" w:noHBand="0" w:noVBand="1"/>
      </w:tblPr>
      <w:tblGrid>
        <w:gridCol w:w="846"/>
        <w:gridCol w:w="4111"/>
        <w:gridCol w:w="3402"/>
        <w:gridCol w:w="1272"/>
      </w:tblGrid>
      <w:tr w:rsidR="002114D3" w14:paraId="36E4AD23" w14:textId="77777777" w:rsidTr="004F0647">
        <w:tc>
          <w:tcPr>
            <w:tcW w:w="846" w:type="dxa"/>
          </w:tcPr>
          <w:p w14:paraId="03353E8F" w14:textId="77777777" w:rsidR="002114D3" w:rsidRDefault="002114D3" w:rsidP="004F0647">
            <w:pPr>
              <w:rPr>
                <w:lang w:val="en-US" w:eastAsia="zh-CN"/>
              </w:rPr>
            </w:pPr>
            <w:r>
              <w:rPr>
                <w:b/>
                <w:bCs/>
                <w:lang w:val="en-US"/>
              </w:rPr>
              <w:t>No.</w:t>
            </w:r>
          </w:p>
        </w:tc>
        <w:tc>
          <w:tcPr>
            <w:tcW w:w="4111" w:type="dxa"/>
          </w:tcPr>
          <w:p w14:paraId="2CAD9A2A" w14:textId="77777777" w:rsidR="002114D3" w:rsidRDefault="002114D3" w:rsidP="004F0647">
            <w:pPr>
              <w:rPr>
                <w:lang w:val="en-US" w:eastAsia="zh-CN"/>
              </w:rPr>
            </w:pPr>
            <w:r>
              <w:rPr>
                <w:b/>
                <w:bCs/>
                <w:lang w:val="en-US"/>
              </w:rPr>
              <w:t>Category</w:t>
            </w:r>
          </w:p>
        </w:tc>
        <w:tc>
          <w:tcPr>
            <w:tcW w:w="3402" w:type="dxa"/>
          </w:tcPr>
          <w:p w14:paraId="1B00092A" w14:textId="77777777" w:rsidR="002114D3" w:rsidRDefault="002114D3" w:rsidP="004F0647">
            <w:pPr>
              <w:rPr>
                <w:lang w:val="en-US" w:eastAsia="zh-CN"/>
              </w:rPr>
            </w:pPr>
            <w:r>
              <w:rPr>
                <w:b/>
                <w:bCs/>
                <w:lang w:val="en-US"/>
              </w:rPr>
              <w:t>Configuration</w:t>
            </w:r>
          </w:p>
        </w:tc>
        <w:tc>
          <w:tcPr>
            <w:tcW w:w="1272" w:type="dxa"/>
          </w:tcPr>
          <w:p w14:paraId="6B6C5ACF" w14:textId="77777777" w:rsidR="002114D3" w:rsidRDefault="002114D3" w:rsidP="004F0647">
            <w:pPr>
              <w:rPr>
                <w:lang w:val="en-US" w:eastAsia="zh-CN"/>
              </w:rPr>
            </w:pPr>
            <w:r>
              <w:rPr>
                <w:b/>
                <w:bCs/>
                <w:lang w:val="en-US"/>
              </w:rPr>
              <w:t>Responsible company</w:t>
            </w:r>
          </w:p>
        </w:tc>
      </w:tr>
      <w:tr w:rsidR="002114D3" w14:paraId="5B94CC24" w14:textId="77777777" w:rsidTr="004F0647">
        <w:tc>
          <w:tcPr>
            <w:tcW w:w="846" w:type="dxa"/>
          </w:tcPr>
          <w:p w14:paraId="7DD2EDCE"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val="restart"/>
          </w:tcPr>
          <w:p w14:paraId="1FF9ECBA" w14:textId="77777777" w:rsidR="002114D3" w:rsidRDefault="002114D3" w:rsidP="004F0647">
            <w:pPr>
              <w:rPr>
                <w:color w:val="000000"/>
                <w:lang w:val="en-US"/>
              </w:rPr>
            </w:pPr>
            <w:r>
              <w:rPr>
                <w:color w:val="000000"/>
                <w:lang w:val="en-US"/>
              </w:rPr>
              <w:t>NR-DC with selective activation of cell groups</w:t>
            </w:r>
          </w:p>
          <w:p w14:paraId="51FB5CD5" w14:textId="77777777" w:rsidR="002114D3" w:rsidRDefault="002114D3" w:rsidP="004F0647">
            <w:pPr>
              <w:rPr>
                <w:lang w:val="en-US" w:eastAsia="zh-CN"/>
              </w:rPr>
            </w:pPr>
            <w:r>
              <w:rPr>
                <w:color w:val="000000"/>
                <w:lang w:val="en-US"/>
              </w:rPr>
              <w:t>Note: For UE capable of both FR1-FR1 DC and FR1-FR2 DC, UE only needs to pass either 1)+2) or 3)+4)</w:t>
            </w:r>
          </w:p>
        </w:tc>
        <w:tc>
          <w:tcPr>
            <w:tcW w:w="3402" w:type="dxa"/>
          </w:tcPr>
          <w:p w14:paraId="3325393D" w14:textId="77777777" w:rsidR="002114D3" w:rsidRDefault="002114D3" w:rsidP="004F0647">
            <w:pPr>
              <w:rPr>
                <w:lang w:val="en-US" w:eastAsia="zh-CN"/>
              </w:rPr>
            </w:pPr>
            <w:r>
              <w:rPr>
                <w:bCs/>
                <w:color w:val="000000"/>
                <w:lang w:val="en-US"/>
              </w:rPr>
              <w:t>Intra-frequency CPC from FR1-FR1 NR-DC to FR1-FR1 NR-DC</w:t>
            </w:r>
          </w:p>
        </w:tc>
        <w:tc>
          <w:tcPr>
            <w:tcW w:w="1272" w:type="dxa"/>
          </w:tcPr>
          <w:p w14:paraId="3611952E" w14:textId="77777777" w:rsidR="002114D3" w:rsidRDefault="002114D3" w:rsidP="004F0647">
            <w:pPr>
              <w:rPr>
                <w:lang w:val="en-US" w:eastAsia="zh-CN"/>
              </w:rPr>
            </w:pPr>
            <w:r>
              <w:rPr>
                <w:lang w:val="en-US" w:eastAsia="zh-CN"/>
              </w:rPr>
              <w:t>Apple</w:t>
            </w:r>
          </w:p>
        </w:tc>
      </w:tr>
      <w:tr w:rsidR="002114D3" w14:paraId="79BAC5C5" w14:textId="77777777" w:rsidTr="004F0647">
        <w:tc>
          <w:tcPr>
            <w:tcW w:w="846" w:type="dxa"/>
          </w:tcPr>
          <w:p w14:paraId="76687763"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tcPr>
          <w:p w14:paraId="20B909E7" w14:textId="77777777" w:rsidR="002114D3" w:rsidRDefault="002114D3" w:rsidP="004F0647">
            <w:pPr>
              <w:rPr>
                <w:lang w:val="en-US" w:eastAsia="zh-CN"/>
              </w:rPr>
            </w:pPr>
          </w:p>
        </w:tc>
        <w:tc>
          <w:tcPr>
            <w:tcW w:w="3402" w:type="dxa"/>
          </w:tcPr>
          <w:p w14:paraId="75BD9CD6" w14:textId="77777777" w:rsidR="002114D3" w:rsidRDefault="002114D3" w:rsidP="004F0647">
            <w:pPr>
              <w:rPr>
                <w:lang w:val="en-US" w:eastAsia="zh-CN"/>
              </w:rPr>
            </w:pPr>
            <w:r>
              <w:rPr>
                <w:bCs/>
                <w:color w:val="000000"/>
                <w:lang w:val="en-US"/>
              </w:rPr>
              <w:t>Inter-frequency CPA from FR1-FR1 NR-DC to FR1-FR1 NR-DC</w:t>
            </w:r>
          </w:p>
        </w:tc>
        <w:tc>
          <w:tcPr>
            <w:tcW w:w="1272" w:type="dxa"/>
          </w:tcPr>
          <w:p w14:paraId="0636A73F" w14:textId="77777777" w:rsidR="002114D3" w:rsidRDefault="002114D3" w:rsidP="004F0647">
            <w:pPr>
              <w:rPr>
                <w:lang w:val="en-US" w:eastAsia="zh-CN"/>
              </w:rPr>
            </w:pPr>
            <w:r>
              <w:rPr>
                <w:rFonts w:hint="eastAsia"/>
                <w:lang w:val="en-US" w:eastAsia="zh-CN"/>
              </w:rPr>
              <w:t>ZTE</w:t>
            </w:r>
          </w:p>
        </w:tc>
      </w:tr>
      <w:tr w:rsidR="002114D3" w14:paraId="1AAAC615" w14:textId="77777777" w:rsidTr="004F0647">
        <w:tc>
          <w:tcPr>
            <w:tcW w:w="846" w:type="dxa"/>
          </w:tcPr>
          <w:p w14:paraId="0D420504"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tcPr>
          <w:p w14:paraId="38C713E4" w14:textId="77777777" w:rsidR="002114D3" w:rsidRDefault="002114D3" w:rsidP="004F0647">
            <w:pPr>
              <w:rPr>
                <w:color w:val="000000"/>
                <w:lang w:val="en-US"/>
              </w:rPr>
            </w:pPr>
          </w:p>
        </w:tc>
        <w:tc>
          <w:tcPr>
            <w:tcW w:w="3402" w:type="dxa"/>
          </w:tcPr>
          <w:p w14:paraId="4852D676" w14:textId="77777777" w:rsidR="002114D3" w:rsidRDefault="002114D3" w:rsidP="004F0647">
            <w:pPr>
              <w:rPr>
                <w:color w:val="000000"/>
                <w:lang w:val="en-US"/>
              </w:rPr>
            </w:pPr>
            <w:r>
              <w:rPr>
                <w:bCs/>
                <w:color w:val="000000"/>
                <w:lang w:val="en-US"/>
              </w:rPr>
              <w:t>Intra-frequency CPC from FR1-FR2 NR-DC to FR1-FR2 NR-DC</w:t>
            </w:r>
          </w:p>
        </w:tc>
        <w:tc>
          <w:tcPr>
            <w:tcW w:w="1272" w:type="dxa"/>
          </w:tcPr>
          <w:p w14:paraId="2CFA5565" w14:textId="77777777" w:rsidR="002114D3" w:rsidRPr="00D033B2" w:rsidRDefault="002114D3" w:rsidP="004F0647">
            <w:pPr>
              <w:rPr>
                <w:rFonts w:eastAsiaTheme="minorEastAsia"/>
                <w:lang w:val="en-US" w:eastAsia="zh-CN"/>
              </w:rPr>
            </w:pPr>
            <w:r>
              <w:rPr>
                <w:rFonts w:eastAsiaTheme="minorEastAsia" w:hint="eastAsia"/>
                <w:lang w:val="en-US" w:eastAsia="zh-CN"/>
              </w:rPr>
              <w:t>CATT</w:t>
            </w:r>
          </w:p>
        </w:tc>
      </w:tr>
      <w:tr w:rsidR="002114D3" w14:paraId="1DA31E33" w14:textId="77777777" w:rsidTr="004F0647">
        <w:tc>
          <w:tcPr>
            <w:tcW w:w="846" w:type="dxa"/>
          </w:tcPr>
          <w:p w14:paraId="247DC48F"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tcPr>
          <w:p w14:paraId="07EA6CE2" w14:textId="77777777" w:rsidR="002114D3" w:rsidRDefault="002114D3" w:rsidP="004F0647">
            <w:pPr>
              <w:rPr>
                <w:color w:val="000000"/>
                <w:lang w:val="en-US"/>
              </w:rPr>
            </w:pPr>
          </w:p>
        </w:tc>
        <w:tc>
          <w:tcPr>
            <w:tcW w:w="3402" w:type="dxa"/>
          </w:tcPr>
          <w:p w14:paraId="475FBFCA" w14:textId="77777777" w:rsidR="002114D3" w:rsidRDefault="002114D3" w:rsidP="004F0647">
            <w:pPr>
              <w:rPr>
                <w:color w:val="000000"/>
                <w:lang w:val="en-US"/>
              </w:rPr>
            </w:pPr>
            <w:r>
              <w:rPr>
                <w:bCs/>
                <w:color w:val="000000"/>
                <w:lang w:val="en-US"/>
              </w:rPr>
              <w:t>Inter-frequency CPA from FR1-FR2 NR-DC to FR1-FR2 NR-DC</w:t>
            </w:r>
          </w:p>
        </w:tc>
        <w:tc>
          <w:tcPr>
            <w:tcW w:w="1272" w:type="dxa"/>
          </w:tcPr>
          <w:p w14:paraId="3F4D903C" w14:textId="77777777" w:rsidR="002114D3" w:rsidRPr="00D033B2" w:rsidRDefault="002114D3" w:rsidP="004F0647">
            <w:pPr>
              <w:rPr>
                <w:rFonts w:eastAsiaTheme="minorEastAsia"/>
                <w:lang w:val="en-US" w:eastAsia="zh-CN"/>
              </w:rPr>
            </w:pPr>
            <w:r>
              <w:rPr>
                <w:rFonts w:eastAsiaTheme="minorEastAsia" w:hint="eastAsia"/>
                <w:lang w:val="en-US" w:eastAsia="zh-CN"/>
              </w:rPr>
              <w:t>CMCC</w:t>
            </w:r>
          </w:p>
        </w:tc>
      </w:tr>
      <w:tr w:rsidR="002114D3" w14:paraId="4FF86CB2" w14:textId="77777777" w:rsidTr="004F0647">
        <w:tc>
          <w:tcPr>
            <w:tcW w:w="846" w:type="dxa"/>
          </w:tcPr>
          <w:p w14:paraId="15CA3A2F"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tcPr>
          <w:p w14:paraId="0A26E4A2" w14:textId="77777777" w:rsidR="002114D3" w:rsidRDefault="002114D3" w:rsidP="004F0647">
            <w:pPr>
              <w:rPr>
                <w:lang w:val="en-US" w:eastAsia="zh-CN"/>
              </w:rPr>
            </w:pPr>
            <w:r>
              <w:rPr>
                <w:color w:val="000000"/>
                <w:lang w:val="en-US"/>
              </w:rPr>
              <w:t>FFS: Improvement on SCell/SCG setup delay</w:t>
            </w:r>
          </w:p>
        </w:tc>
        <w:tc>
          <w:tcPr>
            <w:tcW w:w="3402" w:type="dxa"/>
          </w:tcPr>
          <w:p w14:paraId="111DE03D" w14:textId="77777777" w:rsidR="002114D3" w:rsidRDefault="002114D3" w:rsidP="004F0647">
            <w:pPr>
              <w:rPr>
                <w:lang w:val="en-US" w:eastAsia="zh-CN"/>
              </w:rPr>
            </w:pPr>
            <w:r>
              <w:rPr>
                <w:color w:val="000000"/>
                <w:lang w:val="en-US"/>
              </w:rPr>
              <w:t>TBA</w:t>
            </w:r>
          </w:p>
        </w:tc>
        <w:tc>
          <w:tcPr>
            <w:tcW w:w="1272" w:type="dxa"/>
          </w:tcPr>
          <w:p w14:paraId="42303F47" w14:textId="25A7486B" w:rsidR="002114D3" w:rsidRDefault="002114D3" w:rsidP="004F0647">
            <w:pPr>
              <w:rPr>
                <w:lang w:val="en-US" w:eastAsia="zh-CN"/>
              </w:rPr>
            </w:pPr>
            <w:r>
              <w:rPr>
                <w:lang w:val="en-US" w:eastAsia="zh-CN"/>
              </w:rPr>
              <w:t>E///</w:t>
            </w:r>
          </w:p>
        </w:tc>
      </w:tr>
      <w:tr w:rsidR="002114D3" w14:paraId="7DCEF0EE" w14:textId="77777777" w:rsidTr="004F0647">
        <w:trPr>
          <w:trHeight w:val="1064"/>
        </w:trPr>
        <w:tc>
          <w:tcPr>
            <w:tcW w:w="846" w:type="dxa"/>
          </w:tcPr>
          <w:p w14:paraId="086EC3B5"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val="restart"/>
          </w:tcPr>
          <w:p w14:paraId="1C569E78" w14:textId="77777777" w:rsidR="002114D3" w:rsidRDefault="002114D3" w:rsidP="004F0647">
            <w:pPr>
              <w:rPr>
                <w:color w:val="000000"/>
                <w:lang w:val="en-US"/>
              </w:rPr>
            </w:pPr>
            <w:r>
              <w:rPr>
                <w:color w:val="000000"/>
                <w:lang w:val="en-US"/>
              </w:rPr>
              <w:t>CHO including target MCG and target SCG in NR-DC (obj.3)</w:t>
            </w:r>
          </w:p>
          <w:p w14:paraId="420A1F69" w14:textId="77777777" w:rsidR="002114D3" w:rsidRDefault="002114D3" w:rsidP="004F0647">
            <w:pPr>
              <w:rPr>
                <w:lang w:val="en-US" w:eastAsia="zh-CN"/>
              </w:rPr>
            </w:pPr>
            <w:r>
              <w:rPr>
                <w:lang w:val="en-US"/>
              </w:rPr>
              <w:t>Note: For UE capable of both FR1-FR1 DC and FR1-FR2 DC, UE only needs to pass either 6) or 7)</w:t>
            </w:r>
          </w:p>
        </w:tc>
        <w:tc>
          <w:tcPr>
            <w:tcW w:w="3402" w:type="dxa"/>
          </w:tcPr>
          <w:p w14:paraId="1963D35E" w14:textId="77777777" w:rsidR="002114D3" w:rsidRDefault="002114D3" w:rsidP="004F0647">
            <w:pPr>
              <w:rPr>
                <w:lang w:val="en-US" w:eastAsia="zh-CN"/>
              </w:rPr>
            </w:pPr>
            <w:r>
              <w:rPr>
                <w:color w:val="000000"/>
                <w:lang w:val="en-US"/>
              </w:rPr>
              <w:t>FR1-FR1 NR-DC to FR1-FR1 NR-DC</w:t>
            </w:r>
          </w:p>
        </w:tc>
        <w:tc>
          <w:tcPr>
            <w:tcW w:w="1272" w:type="dxa"/>
          </w:tcPr>
          <w:p w14:paraId="25B076EC" w14:textId="77777777" w:rsidR="002114D3" w:rsidRPr="00D033B2" w:rsidRDefault="002114D3" w:rsidP="004F0647">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2114D3" w14:paraId="1ECB6520" w14:textId="77777777" w:rsidTr="004F0647">
        <w:tc>
          <w:tcPr>
            <w:tcW w:w="846" w:type="dxa"/>
          </w:tcPr>
          <w:p w14:paraId="06FDD951"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tcPr>
          <w:p w14:paraId="5386BFD5" w14:textId="77777777" w:rsidR="002114D3" w:rsidRDefault="002114D3" w:rsidP="004F0647">
            <w:pPr>
              <w:rPr>
                <w:lang w:val="en-US" w:eastAsia="zh-CN"/>
              </w:rPr>
            </w:pPr>
          </w:p>
        </w:tc>
        <w:tc>
          <w:tcPr>
            <w:tcW w:w="3402" w:type="dxa"/>
          </w:tcPr>
          <w:p w14:paraId="737A2C30" w14:textId="77777777" w:rsidR="002114D3" w:rsidRDefault="002114D3" w:rsidP="004F0647">
            <w:pPr>
              <w:rPr>
                <w:lang w:val="en-US" w:eastAsia="zh-CN"/>
              </w:rPr>
            </w:pPr>
            <w:r>
              <w:rPr>
                <w:color w:val="000000"/>
              </w:rPr>
              <w:t>FR1-FR2 NR-DC to FR1-FR2 NR-DC</w:t>
            </w:r>
          </w:p>
        </w:tc>
        <w:tc>
          <w:tcPr>
            <w:tcW w:w="1272" w:type="dxa"/>
          </w:tcPr>
          <w:p w14:paraId="30FE172A" w14:textId="77777777" w:rsidR="002114D3" w:rsidRPr="00D033B2" w:rsidRDefault="002114D3" w:rsidP="004F064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r>
      <w:tr w:rsidR="002114D3" w14:paraId="6CE1F348" w14:textId="77777777" w:rsidTr="004F0647">
        <w:tc>
          <w:tcPr>
            <w:tcW w:w="846" w:type="dxa"/>
          </w:tcPr>
          <w:p w14:paraId="7BF33F4F"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val="restart"/>
          </w:tcPr>
          <w:p w14:paraId="3DD0ACDD" w14:textId="77777777" w:rsidR="002114D3" w:rsidRDefault="002114D3" w:rsidP="004F0647">
            <w:pPr>
              <w:rPr>
                <w:color w:val="000000"/>
              </w:rPr>
            </w:pPr>
            <w:r>
              <w:rPr>
                <w:color w:val="000000"/>
              </w:rPr>
              <w:t>CHO including target MCG and candidate SCG in NR-DC (obj.4)</w:t>
            </w:r>
          </w:p>
          <w:p w14:paraId="09847B2C" w14:textId="77777777" w:rsidR="002114D3" w:rsidRDefault="002114D3" w:rsidP="004F0647">
            <w:pPr>
              <w:rPr>
                <w:lang w:val="en-US" w:eastAsia="zh-CN"/>
              </w:rPr>
            </w:pPr>
            <w:r>
              <w:rPr>
                <w:lang w:val="en-US"/>
              </w:rPr>
              <w:t>Note: For UE capable of both FR1-FR1 DC and FR1-FR2 DC, UE only needs to pass either 8) or 9)</w:t>
            </w:r>
          </w:p>
        </w:tc>
        <w:tc>
          <w:tcPr>
            <w:tcW w:w="3402" w:type="dxa"/>
          </w:tcPr>
          <w:p w14:paraId="3A75F524" w14:textId="77777777" w:rsidR="002114D3" w:rsidRDefault="002114D3" w:rsidP="004F0647">
            <w:pPr>
              <w:rPr>
                <w:lang w:val="en-US" w:eastAsia="zh-CN"/>
              </w:rPr>
            </w:pPr>
            <w:r>
              <w:rPr>
                <w:color w:val="000000"/>
              </w:rPr>
              <w:t>FR1-FR1 NR-DC to FR1-FR1 NR-DC</w:t>
            </w:r>
          </w:p>
        </w:tc>
        <w:tc>
          <w:tcPr>
            <w:tcW w:w="1272" w:type="dxa"/>
          </w:tcPr>
          <w:p w14:paraId="5A4A3BB8" w14:textId="77777777" w:rsidR="002114D3" w:rsidRDefault="002114D3" w:rsidP="004F0647">
            <w:pPr>
              <w:rPr>
                <w:lang w:val="en-US" w:eastAsia="zh-CN"/>
              </w:rPr>
            </w:pPr>
            <w:r>
              <w:rPr>
                <w:lang w:val="en-US" w:eastAsia="zh-CN"/>
              </w:rPr>
              <w:t>Nokia</w:t>
            </w:r>
          </w:p>
        </w:tc>
      </w:tr>
      <w:tr w:rsidR="002114D3" w14:paraId="60DB7DBF" w14:textId="77777777" w:rsidTr="004F0647">
        <w:tc>
          <w:tcPr>
            <w:tcW w:w="846" w:type="dxa"/>
          </w:tcPr>
          <w:p w14:paraId="333F1182" w14:textId="77777777" w:rsidR="002114D3" w:rsidRDefault="002114D3" w:rsidP="004F0647">
            <w:pPr>
              <w:pStyle w:val="ListParagraph"/>
              <w:numPr>
                <w:ilvl w:val="0"/>
                <w:numId w:val="10"/>
              </w:numPr>
              <w:ind w:left="317" w:firstLineChars="0"/>
              <w:rPr>
                <w:rFonts w:eastAsia="Yu Mincho"/>
                <w:lang w:val="en-US" w:eastAsia="zh-CN"/>
              </w:rPr>
            </w:pPr>
          </w:p>
        </w:tc>
        <w:tc>
          <w:tcPr>
            <w:tcW w:w="4111" w:type="dxa"/>
            <w:vMerge/>
          </w:tcPr>
          <w:p w14:paraId="158F87EA" w14:textId="77777777" w:rsidR="002114D3" w:rsidRDefault="002114D3" w:rsidP="004F0647">
            <w:pPr>
              <w:rPr>
                <w:lang w:val="en-US" w:eastAsia="zh-CN"/>
              </w:rPr>
            </w:pPr>
          </w:p>
        </w:tc>
        <w:tc>
          <w:tcPr>
            <w:tcW w:w="3402" w:type="dxa"/>
          </w:tcPr>
          <w:p w14:paraId="3E5DCDC3" w14:textId="77777777" w:rsidR="002114D3" w:rsidRDefault="002114D3" w:rsidP="004F0647">
            <w:pPr>
              <w:rPr>
                <w:lang w:val="en-US" w:eastAsia="zh-CN"/>
              </w:rPr>
            </w:pPr>
            <w:r>
              <w:rPr>
                <w:color w:val="000000"/>
              </w:rPr>
              <w:t>FR1-FR2 NR-DC to FR1-FR2 NR-DC</w:t>
            </w:r>
          </w:p>
        </w:tc>
        <w:tc>
          <w:tcPr>
            <w:tcW w:w="1272" w:type="dxa"/>
          </w:tcPr>
          <w:p w14:paraId="2FAB7CB2" w14:textId="77777777" w:rsidR="002114D3" w:rsidRPr="00D033B2" w:rsidRDefault="002114D3" w:rsidP="004F0647">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bl>
    <w:p w14:paraId="5F73F45B" w14:textId="77777777" w:rsidR="002114D3" w:rsidRDefault="002114D3" w:rsidP="002114D3">
      <w:pPr>
        <w:rPr>
          <w:lang w:val="en-US" w:eastAsia="zh-CN"/>
        </w:rPr>
      </w:pPr>
    </w:p>
    <w:p w14:paraId="0D332194" w14:textId="7DBA7C52" w:rsidR="003673C7" w:rsidRDefault="003673C7" w:rsidP="006D2B52">
      <w:pPr>
        <w:rPr>
          <w:color w:val="000000" w:themeColor="text1"/>
          <w:lang w:val="en-US"/>
        </w:rPr>
      </w:pPr>
    </w:p>
    <w:p w14:paraId="50ECCD27" w14:textId="77777777" w:rsidR="002114D3" w:rsidRDefault="002114D3" w:rsidP="006D2B52">
      <w:pPr>
        <w:rPr>
          <w:color w:val="000000" w:themeColor="text1"/>
          <w:lang w:val="en-US"/>
        </w:rPr>
      </w:pPr>
    </w:p>
    <w:sectPr w:rsidR="002114D3" w:rsidSect="000F33EC">
      <w:footnotePr>
        <w:numRestart w:val="eachSect"/>
      </w:footnotePr>
      <w:pgSz w:w="12240" w:h="2016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7CCB" w14:textId="77777777" w:rsidR="000F33EC" w:rsidRDefault="000F33EC">
      <w:pPr>
        <w:spacing w:after="0"/>
      </w:pPr>
      <w:r>
        <w:separator/>
      </w:r>
    </w:p>
  </w:endnote>
  <w:endnote w:type="continuationSeparator" w:id="0">
    <w:p w14:paraId="2B4DEC2A" w14:textId="77777777" w:rsidR="000F33EC" w:rsidRDefault="000F3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3F9F2" w14:textId="77777777" w:rsidR="000F33EC" w:rsidRDefault="000F33EC">
      <w:pPr>
        <w:spacing w:after="0"/>
      </w:pPr>
      <w:r>
        <w:separator/>
      </w:r>
    </w:p>
  </w:footnote>
  <w:footnote w:type="continuationSeparator" w:id="0">
    <w:p w14:paraId="179107EF" w14:textId="77777777" w:rsidR="000F33EC" w:rsidRDefault="000F33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2"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3755862">
    <w:abstractNumId w:val="2"/>
  </w:num>
  <w:num w:numId="2" w16cid:durableId="98184452">
    <w:abstractNumId w:val="4"/>
  </w:num>
  <w:num w:numId="3" w16cid:durableId="1899978324">
    <w:abstractNumId w:val="5"/>
  </w:num>
  <w:num w:numId="4" w16cid:durableId="194930324">
    <w:abstractNumId w:val="1"/>
  </w:num>
  <w:num w:numId="5" w16cid:durableId="220556041">
    <w:abstractNumId w:val="3"/>
  </w:num>
  <w:num w:numId="6" w16cid:durableId="1600068232">
    <w:abstractNumId w:val="0"/>
  </w:num>
  <w:num w:numId="7" w16cid:durableId="321130881">
    <w:abstractNumId w:val="6"/>
  </w:num>
  <w:num w:numId="8" w16cid:durableId="705176765">
    <w:abstractNumId w:val="11"/>
  </w:num>
  <w:num w:numId="9" w16cid:durableId="684674384">
    <w:abstractNumId w:val="8"/>
  </w:num>
  <w:num w:numId="10" w16cid:durableId="2040466610">
    <w:abstractNumId w:val="10"/>
  </w:num>
  <w:num w:numId="11" w16cid:durableId="2105493738">
    <w:abstractNumId w:val="12"/>
  </w:num>
  <w:num w:numId="12" w16cid:durableId="2125691991">
    <w:abstractNumId w:val="2"/>
    <w:lvlOverride w:ilvl="0">
      <w:startOverride w:val="3"/>
    </w:lvlOverride>
  </w:num>
  <w:num w:numId="13" w16cid:durableId="1774282391">
    <w:abstractNumId w:val="7"/>
  </w:num>
  <w:num w:numId="14" w16cid:durableId="1464351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783"/>
    <w:rsid w:val="00010FEB"/>
    <w:rsid w:val="00011563"/>
    <w:rsid w:val="000122DA"/>
    <w:rsid w:val="00013BE1"/>
    <w:rsid w:val="0001463A"/>
    <w:rsid w:val="000179C9"/>
    <w:rsid w:val="00020C56"/>
    <w:rsid w:val="000210C2"/>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5A0E"/>
    <w:rsid w:val="00086F8B"/>
    <w:rsid w:val="00087548"/>
    <w:rsid w:val="000875C1"/>
    <w:rsid w:val="00092AFE"/>
    <w:rsid w:val="00093496"/>
    <w:rsid w:val="00093E7E"/>
    <w:rsid w:val="00095E17"/>
    <w:rsid w:val="00095F43"/>
    <w:rsid w:val="00096A0C"/>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558"/>
    <w:rsid w:val="00130084"/>
    <w:rsid w:val="00130462"/>
    <w:rsid w:val="00131559"/>
    <w:rsid w:val="00131D66"/>
    <w:rsid w:val="00131FDE"/>
    <w:rsid w:val="001325CA"/>
    <w:rsid w:val="0013386E"/>
    <w:rsid w:val="0013515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801"/>
    <w:rsid w:val="001751AB"/>
    <w:rsid w:val="00175A3F"/>
    <w:rsid w:val="001762C5"/>
    <w:rsid w:val="00176E0D"/>
    <w:rsid w:val="00180343"/>
    <w:rsid w:val="00180381"/>
    <w:rsid w:val="00180E09"/>
    <w:rsid w:val="0018283C"/>
    <w:rsid w:val="001830CD"/>
    <w:rsid w:val="001831CD"/>
    <w:rsid w:val="00183555"/>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6F48"/>
    <w:rsid w:val="001D7739"/>
    <w:rsid w:val="001D7D94"/>
    <w:rsid w:val="001E0A28"/>
    <w:rsid w:val="001E1543"/>
    <w:rsid w:val="001E208D"/>
    <w:rsid w:val="001E21B5"/>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E08"/>
    <w:rsid w:val="00222897"/>
    <w:rsid w:val="00222B0C"/>
    <w:rsid w:val="002231A9"/>
    <w:rsid w:val="002236EB"/>
    <w:rsid w:val="002241AF"/>
    <w:rsid w:val="00224224"/>
    <w:rsid w:val="00225AEE"/>
    <w:rsid w:val="0022659D"/>
    <w:rsid w:val="002269DE"/>
    <w:rsid w:val="00227719"/>
    <w:rsid w:val="00230048"/>
    <w:rsid w:val="0023044D"/>
    <w:rsid w:val="002307BC"/>
    <w:rsid w:val="00231481"/>
    <w:rsid w:val="00235394"/>
    <w:rsid w:val="00235577"/>
    <w:rsid w:val="00235D0F"/>
    <w:rsid w:val="0023632E"/>
    <w:rsid w:val="002371B2"/>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EC7"/>
    <w:rsid w:val="00261539"/>
    <w:rsid w:val="0026179F"/>
    <w:rsid w:val="00262E65"/>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4BCE"/>
    <w:rsid w:val="002A4C0E"/>
    <w:rsid w:val="002A4CD0"/>
    <w:rsid w:val="002A5212"/>
    <w:rsid w:val="002A7DA6"/>
    <w:rsid w:val="002B0C75"/>
    <w:rsid w:val="002B0EA4"/>
    <w:rsid w:val="002B3E56"/>
    <w:rsid w:val="002B40C5"/>
    <w:rsid w:val="002B4C93"/>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2E3A"/>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65"/>
    <w:rsid w:val="00316876"/>
    <w:rsid w:val="003202DF"/>
    <w:rsid w:val="00321150"/>
    <w:rsid w:val="003214FD"/>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A36"/>
    <w:rsid w:val="00420A3C"/>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9BB"/>
    <w:rsid w:val="004B2ED0"/>
    <w:rsid w:val="004B5F31"/>
    <w:rsid w:val="004B6B0F"/>
    <w:rsid w:val="004C3CDA"/>
    <w:rsid w:val="004C4C39"/>
    <w:rsid w:val="004C4D9A"/>
    <w:rsid w:val="004C54E5"/>
    <w:rsid w:val="004C59C8"/>
    <w:rsid w:val="004C5F39"/>
    <w:rsid w:val="004C6ABF"/>
    <w:rsid w:val="004C6C03"/>
    <w:rsid w:val="004C7D5A"/>
    <w:rsid w:val="004C7DC8"/>
    <w:rsid w:val="004D05EE"/>
    <w:rsid w:val="004D0DC5"/>
    <w:rsid w:val="004D0EA8"/>
    <w:rsid w:val="004D21B0"/>
    <w:rsid w:val="004D34D4"/>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34DC"/>
    <w:rsid w:val="00503825"/>
    <w:rsid w:val="00505BFA"/>
    <w:rsid w:val="005071B4"/>
    <w:rsid w:val="0050721F"/>
    <w:rsid w:val="00507687"/>
    <w:rsid w:val="00510455"/>
    <w:rsid w:val="005117A9"/>
    <w:rsid w:val="00511C7E"/>
    <w:rsid w:val="00511F57"/>
    <w:rsid w:val="00512CEE"/>
    <w:rsid w:val="00512D8C"/>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21E"/>
    <w:rsid w:val="00532EC8"/>
    <w:rsid w:val="00533159"/>
    <w:rsid w:val="005339DB"/>
    <w:rsid w:val="00534C89"/>
    <w:rsid w:val="005357B4"/>
    <w:rsid w:val="0053582A"/>
    <w:rsid w:val="00536F88"/>
    <w:rsid w:val="00540971"/>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7EFD"/>
    <w:rsid w:val="00571095"/>
    <w:rsid w:val="00571777"/>
    <w:rsid w:val="00576405"/>
    <w:rsid w:val="005767CA"/>
    <w:rsid w:val="00576D22"/>
    <w:rsid w:val="005770EE"/>
    <w:rsid w:val="00577718"/>
    <w:rsid w:val="00577ED1"/>
    <w:rsid w:val="00580946"/>
    <w:rsid w:val="00580FF5"/>
    <w:rsid w:val="00581185"/>
    <w:rsid w:val="005844DC"/>
    <w:rsid w:val="005846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2AA"/>
    <w:rsid w:val="005B1E99"/>
    <w:rsid w:val="005B22F7"/>
    <w:rsid w:val="005B38D0"/>
    <w:rsid w:val="005B3944"/>
    <w:rsid w:val="005B4436"/>
    <w:rsid w:val="005B4802"/>
    <w:rsid w:val="005B59EE"/>
    <w:rsid w:val="005B6488"/>
    <w:rsid w:val="005B750D"/>
    <w:rsid w:val="005C09F6"/>
    <w:rsid w:val="005C1EA6"/>
    <w:rsid w:val="005C2C99"/>
    <w:rsid w:val="005C373E"/>
    <w:rsid w:val="005C4219"/>
    <w:rsid w:val="005C534B"/>
    <w:rsid w:val="005C6440"/>
    <w:rsid w:val="005C6835"/>
    <w:rsid w:val="005C7076"/>
    <w:rsid w:val="005C7449"/>
    <w:rsid w:val="005D08FD"/>
    <w:rsid w:val="005D0B99"/>
    <w:rsid w:val="005D183E"/>
    <w:rsid w:val="005D19A8"/>
    <w:rsid w:val="005D24CE"/>
    <w:rsid w:val="005D308E"/>
    <w:rsid w:val="005D39F7"/>
    <w:rsid w:val="005D3A48"/>
    <w:rsid w:val="005D3F36"/>
    <w:rsid w:val="005D487D"/>
    <w:rsid w:val="005D5941"/>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794F"/>
    <w:rsid w:val="00600B1C"/>
    <w:rsid w:val="006016E1"/>
    <w:rsid w:val="006017FE"/>
    <w:rsid w:val="00602877"/>
    <w:rsid w:val="00602C6F"/>
    <w:rsid w:val="00602D27"/>
    <w:rsid w:val="00602FDA"/>
    <w:rsid w:val="006031CD"/>
    <w:rsid w:val="00603D95"/>
    <w:rsid w:val="00603FCC"/>
    <w:rsid w:val="00604E93"/>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1D1D"/>
    <w:rsid w:val="00652D4C"/>
    <w:rsid w:val="006530AA"/>
    <w:rsid w:val="0065314F"/>
    <w:rsid w:val="006537BC"/>
    <w:rsid w:val="00653BCF"/>
    <w:rsid w:val="00654806"/>
    <w:rsid w:val="0065505B"/>
    <w:rsid w:val="0066231D"/>
    <w:rsid w:val="006629AA"/>
    <w:rsid w:val="00663CFE"/>
    <w:rsid w:val="00663D6F"/>
    <w:rsid w:val="00664741"/>
    <w:rsid w:val="00664EF4"/>
    <w:rsid w:val="00665263"/>
    <w:rsid w:val="006654DD"/>
    <w:rsid w:val="00665B8C"/>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6D23"/>
    <w:rsid w:val="006A79CE"/>
    <w:rsid w:val="006B0585"/>
    <w:rsid w:val="006B14B2"/>
    <w:rsid w:val="006B25DE"/>
    <w:rsid w:val="006B30D3"/>
    <w:rsid w:val="006B372A"/>
    <w:rsid w:val="006B736D"/>
    <w:rsid w:val="006B7D42"/>
    <w:rsid w:val="006B7E7D"/>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1AD0"/>
    <w:rsid w:val="007520B4"/>
    <w:rsid w:val="007532AB"/>
    <w:rsid w:val="007542D5"/>
    <w:rsid w:val="0075452D"/>
    <w:rsid w:val="007553CE"/>
    <w:rsid w:val="0075546F"/>
    <w:rsid w:val="007557AF"/>
    <w:rsid w:val="00757B96"/>
    <w:rsid w:val="00760913"/>
    <w:rsid w:val="00762994"/>
    <w:rsid w:val="00762D3E"/>
    <w:rsid w:val="00763289"/>
    <w:rsid w:val="00764C7D"/>
    <w:rsid w:val="007655D5"/>
    <w:rsid w:val="00765BE6"/>
    <w:rsid w:val="00767432"/>
    <w:rsid w:val="007702F9"/>
    <w:rsid w:val="00770937"/>
    <w:rsid w:val="007711BA"/>
    <w:rsid w:val="00772E30"/>
    <w:rsid w:val="00773AA8"/>
    <w:rsid w:val="00774FDA"/>
    <w:rsid w:val="0077569B"/>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8CD"/>
    <w:rsid w:val="007C2DFE"/>
    <w:rsid w:val="007C2E6E"/>
    <w:rsid w:val="007C50B7"/>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E1E"/>
    <w:rsid w:val="007F2108"/>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199E"/>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33ED"/>
    <w:rsid w:val="0086391B"/>
    <w:rsid w:val="0086468A"/>
    <w:rsid w:val="008660C7"/>
    <w:rsid w:val="00866D5B"/>
    <w:rsid w:val="00866FF5"/>
    <w:rsid w:val="008675CA"/>
    <w:rsid w:val="008716B6"/>
    <w:rsid w:val="00871C15"/>
    <w:rsid w:val="0087332D"/>
    <w:rsid w:val="0087387B"/>
    <w:rsid w:val="00873E1F"/>
    <w:rsid w:val="00874C16"/>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1D3C"/>
    <w:rsid w:val="008B1FF1"/>
    <w:rsid w:val="008B3194"/>
    <w:rsid w:val="008B32A8"/>
    <w:rsid w:val="008B39F9"/>
    <w:rsid w:val="008B3B5B"/>
    <w:rsid w:val="008B3E63"/>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B19"/>
    <w:rsid w:val="008F4CC4"/>
    <w:rsid w:val="008F4DD1"/>
    <w:rsid w:val="008F6056"/>
    <w:rsid w:val="008F665F"/>
    <w:rsid w:val="008F698D"/>
    <w:rsid w:val="008F6A57"/>
    <w:rsid w:val="008F6E89"/>
    <w:rsid w:val="009013E2"/>
    <w:rsid w:val="00902BCD"/>
    <w:rsid w:val="00902C07"/>
    <w:rsid w:val="00904F4C"/>
    <w:rsid w:val="00905804"/>
    <w:rsid w:val="00905AB5"/>
    <w:rsid w:val="00906AE7"/>
    <w:rsid w:val="00907B45"/>
    <w:rsid w:val="009101E2"/>
    <w:rsid w:val="00910B03"/>
    <w:rsid w:val="00910F8E"/>
    <w:rsid w:val="0091131D"/>
    <w:rsid w:val="0091253D"/>
    <w:rsid w:val="009130F4"/>
    <w:rsid w:val="00915D73"/>
    <w:rsid w:val="00916077"/>
    <w:rsid w:val="00916205"/>
    <w:rsid w:val="00916CF3"/>
    <w:rsid w:val="009170A2"/>
    <w:rsid w:val="0092015A"/>
    <w:rsid w:val="009208A6"/>
    <w:rsid w:val="00920E1A"/>
    <w:rsid w:val="009211B1"/>
    <w:rsid w:val="00923FD6"/>
    <w:rsid w:val="00924438"/>
    <w:rsid w:val="00924514"/>
    <w:rsid w:val="00925083"/>
    <w:rsid w:val="00925664"/>
    <w:rsid w:val="00925FEE"/>
    <w:rsid w:val="00926CB8"/>
    <w:rsid w:val="00927316"/>
    <w:rsid w:val="00927325"/>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7E"/>
    <w:rsid w:val="00950C1F"/>
    <w:rsid w:val="0095139A"/>
    <w:rsid w:val="00952005"/>
    <w:rsid w:val="00953483"/>
    <w:rsid w:val="00953E16"/>
    <w:rsid w:val="00953E9D"/>
    <w:rsid w:val="009542AC"/>
    <w:rsid w:val="00955688"/>
    <w:rsid w:val="0095620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0CFB"/>
    <w:rsid w:val="00971D18"/>
    <w:rsid w:val="00973614"/>
    <w:rsid w:val="0097388B"/>
    <w:rsid w:val="009738E1"/>
    <w:rsid w:val="00973904"/>
    <w:rsid w:val="00973FD5"/>
    <w:rsid w:val="0097408E"/>
    <w:rsid w:val="00974B16"/>
    <w:rsid w:val="00974BB2"/>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A7F58"/>
    <w:rsid w:val="009B036F"/>
    <w:rsid w:val="009B0786"/>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0DC8"/>
    <w:rsid w:val="009E16A9"/>
    <w:rsid w:val="009E2497"/>
    <w:rsid w:val="009E35D7"/>
    <w:rsid w:val="009E375F"/>
    <w:rsid w:val="009E39D4"/>
    <w:rsid w:val="009E3A6E"/>
    <w:rsid w:val="009E40A3"/>
    <w:rsid w:val="009E433B"/>
    <w:rsid w:val="009E4550"/>
    <w:rsid w:val="009E5392"/>
    <w:rsid w:val="009E5401"/>
    <w:rsid w:val="009E621E"/>
    <w:rsid w:val="009E6BB3"/>
    <w:rsid w:val="009E6FDE"/>
    <w:rsid w:val="009E7AA6"/>
    <w:rsid w:val="009E7CFE"/>
    <w:rsid w:val="009F16BC"/>
    <w:rsid w:val="009F5CE6"/>
    <w:rsid w:val="009F6595"/>
    <w:rsid w:val="009F6BDF"/>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68AC"/>
    <w:rsid w:val="00A376B7"/>
    <w:rsid w:val="00A40995"/>
    <w:rsid w:val="00A41BF5"/>
    <w:rsid w:val="00A41D0C"/>
    <w:rsid w:val="00A42E6F"/>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CE0"/>
    <w:rsid w:val="00AA1CFD"/>
    <w:rsid w:val="00AA2239"/>
    <w:rsid w:val="00AA2D97"/>
    <w:rsid w:val="00AA2DDA"/>
    <w:rsid w:val="00AA33D2"/>
    <w:rsid w:val="00AA3459"/>
    <w:rsid w:val="00AB0C57"/>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10CE"/>
    <w:rsid w:val="00AE34B7"/>
    <w:rsid w:val="00AE3FC5"/>
    <w:rsid w:val="00AE535F"/>
    <w:rsid w:val="00AE57A7"/>
    <w:rsid w:val="00AE70D4"/>
    <w:rsid w:val="00AE7868"/>
    <w:rsid w:val="00AE7F15"/>
    <w:rsid w:val="00AF0407"/>
    <w:rsid w:val="00AF049B"/>
    <w:rsid w:val="00AF0C62"/>
    <w:rsid w:val="00AF2F4B"/>
    <w:rsid w:val="00AF48DB"/>
    <w:rsid w:val="00AF4A5D"/>
    <w:rsid w:val="00AF4D8B"/>
    <w:rsid w:val="00AF5DE7"/>
    <w:rsid w:val="00AF6344"/>
    <w:rsid w:val="00AF7EDE"/>
    <w:rsid w:val="00B00430"/>
    <w:rsid w:val="00B00D64"/>
    <w:rsid w:val="00B01351"/>
    <w:rsid w:val="00B01678"/>
    <w:rsid w:val="00B04038"/>
    <w:rsid w:val="00B04181"/>
    <w:rsid w:val="00B04460"/>
    <w:rsid w:val="00B067CA"/>
    <w:rsid w:val="00B07163"/>
    <w:rsid w:val="00B07A72"/>
    <w:rsid w:val="00B1287C"/>
    <w:rsid w:val="00B12B26"/>
    <w:rsid w:val="00B13714"/>
    <w:rsid w:val="00B154B0"/>
    <w:rsid w:val="00B163F8"/>
    <w:rsid w:val="00B243B5"/>
    <w:rsid w:val="00B2472D"/>
    <w:rsid w:val="00B24CA0"/>
    <w:rsid w:val="00B24D9C"/>
    <w:rsid w:val="00B252F3"/>
    <w:rsid w:val="00B25449"/>
    <w:rsid w:val="00B2549F"/>
    <w:rsid w:val="00B2676E"/>
    <w:rsid w:val="00B27C67"/>
    <w:rsid w:val="00B303DE"/>
    <w:rsid w:val="00B31BA0"/>
    <w:rsid w:val="00B32BAC"/>
    <w:rsid w:val="00B350B8"/>
    <w:rsid w:val="00B35BD9"/>
    <w:rsid w:val="00B35C4E"/>
    <w:rsid w:val="00B35F58"/>
    <w:rsid w:val="00B3785F"/>
    <w:rsid w:val="00B4095E"/>
    <w:rsid w:val="00B4108D"/>
    <w:rsid w:val="00B44193"/>
    <w:rsid w:val="00B4420B"/>
    <w:rsid w:val="00B44376"/>
    <w:rsid w:val="00B4607D"/>
    <w:rsid w:val="00B467F5"/>
    <w:rsid w:val="00B4697F"/>
    <w:rsid w:val="00B46F8E"/>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3AE"/>
    <w:rsid w:val="00BE3B99"/>
    <w:rsid w:val="00BE45C4"/>
    <w:rsid w:val="00BE5AE3"/>
    <w:rsid w:val="00BE7D60"/>
    <w:rsid w:val="00BF046F"/>
    <w:rsid w:val="00BF1516"/>
    <w:rsid w:val="00BF1785"/>
    <w:rsid w:val="00BF3D89"/>
    <w:rsid w:val="00BF43B0"/>
    <w:rsid w:val="00BF528E"/>
    <w:rsid w:val="00BF5E61"/>
    <w:rsid w:val="00BF6862"/>
    <w:rsid w:val="00BF786F"/>
    <w:rsid w:val="00C0032F"/>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74"/>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4BF"/>
    <w:rsid w:val="00C91F76"/>
    <w:rsid w:val="00C921F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13C9"/>
    <w:rsid w:val="00CB32A3"/>
    <w:rsid w:val="00CB33C7"/>
    <w:rsid w:val="00CB44EA"/>
    <w:rsid w:val="00CB5434"/>
    <w:rsid w:val="00CB5D26"/>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954"/>
    <w:rsid w:val="00D04DA0"/>
    <w:rsid w:val="00D04FD4"/>
    <w:rsid w:val="00D05745"/>
    <w:rsid w:val="00D05C30"/>
    <w:rsid w:val="00D06D41"/>
    <w:rsid w:val="00D10052"/>
    <w:rsid w:val="00D11359"/>
    <w:rsid w:val="00D11756"/>
    <w:rsid w:val="00D11AD4"/>
    <w:rsid w:val="00D11C92"/>
    <w:rsid w:val="00D12380"/>
    <w:rsid w:val="00D12CD7"/>
    <w:rsid w:val="00D166E5"/>
    <w:rsid w:val="00D17B7C"/>
    <w:rsid w:val="00D20E4C"/>
    <w:rsid w:val="00D22B92"/>
    <w:rsid w:val="00D23239"/>
    <w:rsid w:val="00D234EE"/>
    <w:rsid w:val="00D23ADB"/>
    <w:rsid w:val="00D240ED"/>
    <w:rsid w:val="00D24E74"/>
    <w:rsid w:val="00D25353"/>
    <w:rsid w:val="00D26789"/>
    <w:rsid w:val="00D304D9"/>
    <w:rsid w:val="00D30B04"/>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79EC"/>
    <w:rsid w:val="00DB0757"/>
    <w:rsid w:val="00DB33DB"/>
    <w:rsid w:val="00DB5546"/>
    <w:rsid w:val="00DB5876"/>
    <w:rsid w:val="00DB6C39"/>
    <w:rsid w:val="00DB7858"/>
    <w:rsid w:val="00DB7A68"/>
    <w:rsid w:val="00DC02DC"/>
    <w:rsid w:val="00DC16D2"/>
    <w:rsid w:val="00DC228E"/>
    <w:rsid w:val="00DC2500"/>
    <w:rsid w:val="00DC2DAA"/>
    <w:rsid w:val="00DC3505"/>
    <w:rsid w:val="00DC4F72"/>
    <w:rsid w:val="00DC5D2F"/>
    <w:rsid w:val="00DC77DC"/>
    <w:rsid w:val="00DC7C0F"/>
    <w:rsid w:val="00DD0453"/>
    <w:rsid w:val="00DD056B"/>
    <w:rsid w:val="00DD0C2C"/>
    <w:rsid w:val="00DD19DE"/>
    <w:rsid w:val="00DD28BC"/>
    <w:rsid w:val="00DD29F4"/>
    <w:rsid w:val="00DD3A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07318"/>
    <w:rsid w:val="00E1317D"/>
    <w:rsid w:val="00E1322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BC6"/>
    <w:rsid w:val="00E661FF"/>
    <w:rsid w:val="00E6623B"/>
    <w:rsid w:val="00E7081D"/>
    <w:rsid w:val="00E726EB"/>
    <w:rsid w:val="00E72CF1"/>
    <w:rsid w:val="00E744EB"/>
    <w:rsid w:val="00E74760"/>
    <w:rsid w:val="00E747A4"/>
    <w:rsid w:val="00E75001"/>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86583"/>
    <w:rsid w:val="00E901C1"/>
    <w:rsid w:val="00E91008"/>
    <w:rsid w:val="00E91026"/>
    <w:rsid w:val="00E91268"/>
    <w:rsid w:val="00E93319"/>
    <w:rsid w:val="00E9346F"/>
    <w:rsid w:val="00E9374E"/>
    <w:rsid w:val="00E94F54"/>
    <w:rsid w:val="00E9649A"/>
    <w:rsid w:val="00E96DFE"/>
    <w:rsid w:val="00E97AD5"/>
    <w:rsid w:val="00EA0DC4"/>
    <w:rsid w:val="00EA1111"/>
    <w:rsid w:val="00EA2B8B"/>
    <w:rsid w:val="00EA3B4F"/>
    <w:rsid w:val="00EA3C24"/>
    <w:rsid w:val="00EA65E7"/>
    <w:rsid w:val="00EA73DF"/>
    <w:rsid w:val="00EA7A1E"/>
    <w:rsid w:val="00EA7E67"/>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3BCB"/>
    <w:rsid w:val="00EF44D0"/>
    <w:rsid w:val="00EF484A"/>
    <w:rsid w:val="00EF4C88"/>
    <w:rsid w:val="00EF5515"/>
    <w:rsid w:val="00EF55EB"/>
    <w:rsid w:val="00EF5BD8"/>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002"/>
    <w:rsid w:val="00F2044D"/>
    <w:rsid w:val="00F20B91"/>
    <w:rsid w:val="00F21139"/>
    <w:rsid w:val="00F221E7"/>
    <w:rsid w:val="00F2290D"/>
    <w:rsid w:val="00F238F9"/>
    <w:rsid w:val="00F23D4F"/>
    <w:rsid w:val="00F24B8B"/>
    <w:rsid w:val="00F24FC3"/>
    <w:rsid w:val="00F25309"/>
    <w:rsid w:val="00F2583E"/>
    <w:rsid w:val="00F26176"/>
    <w:rsid w:val="00F27978"/>
    <w:rsid w:val="00F27B7D"/>
    <w:rsid w:val="00F30D2E"/>
    <w:rsid w:val="00F31A4C"/>
    <w:rsid w:val="00F31C9F"/>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5582"/>
    <w:rsid w:val="00F658BA"/>
    <w:rsid w:val="00F66E75"/>
    <w:rsid w:val="00F67C1C"/>
    <w:rsid w:val="00F70ED8"/>
    <w:rsid w:val="00F70FDC"/>
    <w:rsid w:val="00F715D8"/>
    <w:rsid w:val="00F7272A"/>
    <w:rsid w:val="00F74E7D"/>
    <w:rsid w:val="00F75705"/>
    <w:rsid w:val="00F75EAD"/>
    <w:rsid w:val="00F77EB0"/>
    <w:rsid w:val="00F804EE"/>
    <w:rsid w:val="00F81B4F"/>
    <w:rsid w:val="00F85968"/>
    <w:rsid w:val="00F87857"/>
    <w:rsid w:val="00F87963"/>
    <w:rsid w:val="00F87CDD"/>
    <w:rsid w:val="00F92839"/>
    <w:rsid w:val="00F933F0"/>
    <w:rsid w:val="00F937A3"/>
    <w:rsid w:val="00F93B15"/>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2888"/>
    <w:rsid w:val="00FB2AAC"/>
    <w:rsid w:val="00FB310E"/>
    <w:rsid w:val="00FB38D8"/>
    <w:rsid w:val="00FB47DE"/>
    <w:rsid w:val="00FB4844"/>
    <w:rsid w:val="00FB496E"/>
    <w:rsid w:val="00FB6CBB"/>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29BC"/>
    <w:rsid w:val="00FE3FBF"/>
    <w:rsid w:val="00FE5F49"/>
    <w:rsid w:val="00FE7859"/>
    <w:rsid w:val="00FE787E"/>
    <w:rsid w:val="00FF0176"/>
    <w:rsid w:val="00FF07A1"/>
    <w:rsid w:val="00FF12F6"/>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5.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TotalTime>
  <Pages>4</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22</cp:revision>
  <cp:lastPrinted>2019-04-24T19:09:00Z</cp:lastPrinted>
  <dcterms:created xsi:type="dcterms:W3CDTF">2024-03-01T10:17:00Z</dcterms:created>
  <dcterms:modified xsi:type="dcterms:W3CDTF">2024-04-19T02:45:00Z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